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ED1763" w:rsidRPr="00DB4F81" w:rsidP="00ED1763" w14:paraId="79F48D68" w14:textId="157D536E">
      <w:pPr>
        <w:jc w:val="both"/>
      </w:pPr>
      <w:r w:rsidRPr="00DB4F81">
        <w:rPr>
          <w:rFonts w:ascii="Calibri" w:eastAsia="Times New Roman" w:hAnsi="Calibri" w:cs="Times New Roman"/>
          <w:noProof/>
        </w:rPr>
        <w:drawing>
          <wp:inline distT="0" distB="0" distL="0" distR="0">
            <wp:extent cx="1429385" cy="81788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016878" name="Picture 5"/>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9385" cy="817880"/>
                    </a:xfrm>
                    <a:prstGeom prst="rect">
                      <a:avLst/>
                    </a:prstGeom>
                    <a:noFill/>
                    <a:ln>
                      <a:noFill/>
                    </a:ln>
                  </pic:spPr>
                </pic:pic>
              </a:graphicData>
            </a:graphic>
          </wp:inline>
        </w:drawing>
      </w:r>
    </w:p>
    <w:p w:rsidR="00ED1763" w:rsidRPr="00520979" w:rsidP="003613C4" w14:paraId="2C7CA5F9" w14:textId="48A5FD1B">
      <w:pPr>
        <w:jc w:val="center"/>
        <w:rPr>
          <w:b/>
          <w:bCs/>
          <w:sz w:val="20"/>
          <w:szCs w:val="20"/>
        </w:rPr>
      </w:pPr>
      <w:r w:rsidRPr="00520979">
        <w:rPr>
          <w:b/>
          <w:bCs/>
          <w:sz w:val="20"/>
          <w:szCs w:val="20"/>
        </w:rPr>
        <w:t>PRIIPS Verordening</w:t>
      </w:r>
      <w:r w:rsidRPr="00520979" w:rsidR="00787BD9">
        <w:rPr>
          <w:b/>
          <w:bCs/>
          <w:sz w:val="20"/>
          <w:szCs w:val="20"/>
        </w:rPr>
        <w:t xml:space="preserve"> </w:t>
      </w:r>
      <w:r w:rsidRPr="00520979" w:rsidR="006A4FCB">
        <w:rPr>
          <w:b/>
          <w:bCs/>
          <w:sz w:val="20"/>
          <w:szCs w:val="20"/>
        </w:rPr>
        <w:t>–</w:t>
      </w:r>
      <w:r w:rsidRPr="00520979" w:rsidR="00787BD9">
        <w:rPr>
          <w:b/>
          <w:bCs/>
          <w:sz w:val="20"/>
          <w:szCs w:val="20"/>
        </w:rPr>
        <w:t xml:space="preserve"> </w:t>
      </w:r>
      <w:r w:rsidRPr="00520979">
        <w:rPr>
          <w:b/>
          <w:bCs/>
          <w:sz w:val="20"/>
          <w:szCs w:val="20"/>
        </w:rPr>
        <w:t>EID</w:t>
      </w:r>
      <w:r w:rsidRPr="00520979" w:rsidR="006A4FCB">
        <w:rPr>
          <w:b/>
          <w:bCs/>
          <w:sz w:val="20"/>
          <w:szCs w:val="20"/>
        </w:rPr>
        <w:t xml:space="preserve"> </w:t>
      </w:r>
      <w:r w:rsidRPr="00520979">
        <w:rPr>
          <w:b/>
          <w:bCs/>
          <w:sz w:val="20"/>
          <w:szCs w:val="20"/>
        </w:rPr>
        <w:t>Closed-End Fonds</w:t>
      </w:r>
    </w:p>
    <w:p w:rsidR="00641873" w:rsidRPr="00520979" w:rsidP="00B76DDE" w14:paraId="0893C087" w14:textId="30663F01">
      <w:pPr>
        <w:pStyle w:val="ListParagraph"/>
        <w:numPr>
          <w:ilvl w:val="0"/>
          <w:numId w:val="3"/>
        </w:numPr>
        <w:spacing w:before="240"/>
        <w:ind w:hanging="720"/>
        <w:contextualSpacing w:val="0"/>
        <w:jc w:val="both"/>
        <w:rPr>
          <w:b/>
          <w:bCs/>
          <w:sz w:val="20"/>
          <w:szCs w:val="20"/>
          <w:lang w:val="nl-NL"/>
        </w:rPr>
      </w:pPr>
      <w:r w:rsidRPr="00520979">
        <w:rPr>
          <w:b/>
          <w:bCs/>
          <w:sz w:val="20"/>
          <w:szCs w:val="20"/>
          <w:lang w:val="nl-NL"/>
        </w:rPr>
        <w:t>PRIIPS Verordening</w:t>
      </w:r>
      <w:bookmarkStart w:id="0" w:name="OpenAt"/>
      <w:bookmarkEnd w:id="0"/>
    </w:p>
    <w:p w:rsidR="00FD361F" w:rsidRPr="00520979" w:rsidP="00C87D0B" w14:paraId="1F76580E" w14:textId="2A44C17F">
      <w:pPr>
        <w:widowControl w:val="0"/>
        <w:ind w:left="720"/>
        <w:jc w:val="both"/>
        <w:rPr>
          <w:sz w:val="20"/>
          <w:szCs w:val="20"/>
          <w:lang w:val="nl-NL"/>
        </w:rPr>
      </w:pPr>
      <w:r w:rsidRPr="00520979">
        <w:rPr>
          <w:sz w:val="20"/>
          <w:szCs w:val="20"/>
          <w:lang w:val="nl-NL"/>
        </w:rPr>
        <w:t>Dit document is een hand</w:t>
      </w:r>
      <w:r w:rsidRPr="00520979" w:rsidR="006944AF">
        <w:rPr>
          <w:sz w:val="20"/>
          <w:szCs w:val="20"/>
          <w:lang w:val="nl-NL"/>
        </w:rPr>
        <w:t>reiking</w:t>
      </w:r>
      <w:r w:rsidRPr="00520979">
        <w:rPr>
          <w:sz w:val="20"/>
          <w:szCs w:val="20"/>
          <w:lang w:val="nl-NL"/>
        </w:rPr>
        <w:t xml:space="preserve"> van de NVP </w:t>
      </w:r>
      <w:r w:rsidRPr="00520979" w:rsidR="006944AF">
        <w:rPr>
          <w:sz w:val="20"/>
          <w:szCs w:val="20"/>
          <w:lang w:val="nl-NL"/>
        </w:rPr>
        <w:t>aan</w:t>
      </w:r>
      <w:r w:rsidRPr="00520979" w:rsidR="00AE6922">
        <w:rPr>
          <w:sz w:val="20"/>
          <w:szCs w:val="20"/>
          <w:lang w:val="nl-NL"/>
        </w:rPr>
        <w:t xml:space="preserve"> haar leden </w:t>
      </w:r>
      <w:r w:rsidRPr="00520979">
        <w:rPr>
          <w:sz w:val="20"/>
          <w:szCs w:val="20"/>
          <w:lang w:val="nl-NL"/>
        </w:rPr>
        <w:t xml:space="preserve">voor </w:t>
      </w:r>
      <w:r w:rsidRPr="00520979" w:rsidR="006944AF">
        <w:rPr>
          <w:sz w:val="20"/>
          <w:szCs w:val="20"/>
          <w:lang w:val="nl-NL"/>
        </w:rPr>
        <w:t xml:space="preserve">het opstellen van </w:t>
      </w:r>
      <w:r w:rsidRPr="00520979">
        <w:rPr>
          <w:sz w:val="20"/>
          <w:szCs w:val="20"/>
          <w:lang w:val="nl-NL"/>
        </w:rPr>
        <w:t xml:space="preserve">een </w:t>
      </w:r>
      <w:r w:rsidRPr="00520979" w:rsidR="000B6E8C">
        <w:rPr>
          <w:sz w:val="20"/>
          <w:szCs w:val="20"/>
          <w:lang w:val="nl-NL"/>
        </w:rPr>
        <w:t>essentiële-informatie document (“</w:t>
      </w:r>
      <w:r w:rsidRPr="00520979">
        <w:rPr>
          <w:b/>
          <w:bCs/>
          <w:sz w:val="20"/>
          <w:szCs w:val="20"/>
          <w:lang w:val="nl-NL"/>
        </w:rPr>
        <w:t>EID</w:t>
      </w:r>
      <w:r w:rsidRPr="00520979" w:rsidR="000B6E8C">
        <w:rPr>
          <w:sz w:val="20"/>
          <w:szCs w:val="20"/>
          <w:lang w:val="nl-NL"/>
        </w:rPr>
        <w:t>”)</w:t>
      </w:r>
      <w:r w:rsidRPr="00520979" w:rsidR="006944AF">
        <w:rPr>
          <w:sz w:val="20"/>
          <w:szCs w:val="20"/>
          <w:lang w:val="nl-NL"/>
        </w:rPr>
        <w:t xml:space="preserve"> onder </w:t>
      </w:r>
      <w:r w:rsidRPr="00520979" w:rsidR="00884AC0">
        <w:rPr>
          <w:sz w:val="20"/>
          <w:szCs w:val="20"/>
          <w:lang w:val="nl-NL"/>
        </w:rPr>
        <w:t xml:space="preserve">de </w:t>
      </w:r>
      <w:r w:rsidRPr="00520979" w:rsidR="000B6E8C">
        <w:rPr>
          <w:sz w:val="20"/>
          <w:szCs w:val="20"/>
          <w:lang w:val="nl-NL"/>
        </w:rPr>
        <w:t xml:space="preserve">EU </w:t>
      </w:r>
      <w:bookmarkStart w:id="1" w:name="_Hlk36729681"/>
      <w:r w:rsidRPr="00520979" w:rsidR="000B6E8C">
        <w:rPr>
          <w:sz w:val="20"/>
          <w:szCs w:val="20"/>
          <w:lang w:val="nl-NL"/>
        </w:rPr>
        <w:t>PRIIPS Verordening</w:t>
      </w:r>
      <w:bookmarkEnd w:id="1"/>
      <w:r>
        <w:rPr>
          <w:rStyle w:val="FootnoteReference"/>
          <w:sz w:val="20"/>
          <w:szCs w:val="20"/>
          <w:lang w:val="nl-NL"/>
        </w:rPr>
        <w:footnoteReference w:id="2"/>
      </w:r>
      <w:r w:rsidRPr="00520979" w:rsidR="000B6E8C">
        <w:rPr>
          <w:sz w:val="20"/>
          <w:szCs w:val="20"/>
          <w:lang w:val="nl-NL"/>
        </w:rPr>
        <w:t xml:space="preserve"> (de “</w:t>
      </w:r>
      <w:r w:rsidRPr="00520979" w:rsidR="000B6E8C">
        <w:rPr>
          <w:b/>
          <w:bCs/>
          <w:sz w:val="20"/>
          <w:szCs w:val="20"/>
          <w:lang w:val="nl-NL"/>
        </w:rPr>
        <w:t>Verordening</w:t>
      </w:r>
      <w:r w:rsidRPr="00520979" w:rsidR="000B6E8C">
        <w:rPr>
          <w:sz w:val="20"/>
          <w:szCs w:val="20"/>
          <w:lang w:val="nl-NL"/>
        </w:rPr>
        <w:t>”)</w:t>
      </w:r>
      <w:r w:rsidRPr="00520979" w:rsidR="00675423">
        <w:rPr>
          <w:sz w:val="20"/>
          <w:szCs w:val="20"/>
          <w:lang w:val="nl-NL"/>
        </w:rPr>
        <w:t xml:space="preserve"> en de EU Gedelegeerde Verordening </w:t>
      </w:r>
      <w:r w:rsidRPr="00520979" w:rsidR="00784550">
        <w:rPr>
          <w:sz w:val="20"/>
          <w:szCs w:val="20"/>
          <w:lang w:val="nl-NL"/>
        </w:rPr>
        <w:t>daarbij</w:t>
      </w:r>
      <w:r>
        <w:rPr>
          <w:rStyle w:val="FootnoteReference"/>
          <w:sz w:val="20"/>
          <w:szCs w:val="20"/>
          <w:lang w:val="nl-NL"/>
        </w:rPr>
        <w:footnoteReference w:id="3"/>
      </w:r>
      <w:r w:rsidRPr="00520979" w:rsidR="00784550">
        <w:rPr>
          <w:sz w:val="20"/>
          <w:szCs w:val="20"/>
          <w:lang w:val="nl-NL"/>
        </w:rPr>
        <w:t xml:space="preserve"> </w:t>
      </w:r>
      <w:r w:rsidRPr="00520979" w:rsidR="00675423">
        <w:rPr>
          <w:sz w:val="20"/>
          <w:szCs w:val="20"/>
          <w:lang w:val="nl-NL"/>
        </w:rPr>
        <w:t>(de “</w:t>
      </w:r>
      <w:r w:rsidRPr="00520979" w:rsidR="00675423">
        <w:rPr>
          <w:b/>
          <w:bCs/>
          <w:sz w:val="20"/>
          <w:szCs w:val="20"/>
          <w:lang w:val="nl-NL"/>
        </w:rPr>
        <w:t>Gedelegeerde Verordening</w:t>
      </w:r>
      <w:r w:rsidRPr="00520979" w:rsidR="00675423">
        <w:rPr>
          <w:sz w:val="20"/>
          <w:szCs w:val="20"/>
          <w:lang w:val="nl-NL"/>
        </w:rPr>
        <w:t>”)</w:t>
      </w:r>
      <w:r w:rsidRPr="00520979" w:rsidR="006944AF">
        <w:rPr>
          <w:sz w:val="20"/>
          <w:szCs w:val="20"/>
          <w:lang w:val="nl-NL"/>
        </w:rPr>
        <w:t>.</w:t>
      </w:r>
    </w:p>
    <w:p w:rsidR="00641873" w:rsidRPr="00520979" w:rsidP="00C87D0B" w14:paraId="3E451286" w14:textId="4C390377">
      <w:pPr>
        <w:widowControl w:val="0"/>
        <w:ind w:left="720"/>
        <w:jc w:val="both"/>
        <w:rPr>
          <w:sz w:val="20"/>
          <w:szCs w:val="20"/>
          <w:lang w:val="nl-NL"/>
        </w:rPr>
      </w:pPr>
      <w:r w:rsidRPr="00520979">
        <w:rPr>
          <w:sz w:val="20"/>
          <w:szCs w:val="20"/>
          <w:lang w:val="nl-NL"/>
        </w:rPr>
        <w:t xml:space="preserve">De Verordening </w:t>
      </w:r>
      <w:r w:rsidRPr="00520979" w:rsidR="00FD361F">
        <w:rPr>
          <w:sz w:val="20"/>
          <w:szCs w:val="20"/>
          <w:lang w:val="nl-NL"/>
        </w:rPr>
        <w:t xml:space="preserve">vereist dat een EID </w:t>
      </w:r>
      <w:r w:rsidRPr="00520979" w:rsidR="00CB5146">
        <w:rPr>
          <w:sz w:val="20"/>
          <w:szCs w:val="20"/>
          <w:lang w:val="nl-NL"/>
        </w:rPr>
        <w:t xml:space="preserve">wordt </w:t>
      </w:r>
      <w:r w:rsidRPr="00520979" w:rsidR="00875F9B">
        <w:rPr>
          <w:sz w:val="20"/>
          <w:szCs w:val="20"/>
          <w:lang w:val="nl-NL"/>
        </w:rPr>
        <w:t xml:space="preserve">opgesteld en </w:t>
      </w:r>
      <w:r w:rsidRPr="00520979" w:rsidR="00FD361F">
        <w:rPr>
          <w:sz w:val="20"/>
          <w:szCs w:val="20"/>
          <w:lang w:val="nl-NL"/>
        </w:rPr>
        <w:t xml:space="preserve">bekend gemaakt </w:t>
      </w:r>
      <w:r w:rsidRPr="00520979" w:rsidR="00875F9B">
        <w:rPr>
          <w:sz w:val="20"/>
          <w:szCs w:val="20"/>
          <w:lang w:val="nl-NL"/>
        </w:rPr>
        <w:t>voordat</w:t>
      </w:r>
      <w:r w:rsidRPr="00520979" w:rsidR="00FD361F">
        <w:rPr>
          <w:sz w:val="20"/>
          <w:szCs w:val="20"/>
          <w:lang w:val="nl-NL"/>
        </w:rPr>
        <w:t xml:space="preserve"> </w:t>
      </w:r>
      <w:r w:rsidRPr="00520979" w:rsidR="00C336BD">
        <w:rPr>
          <w:sz w:val="20"/>
          <w:szCs w:val="20"/>
          <w:lang w:val="nl-NL"/>
        </w:rPr>
        <w:t>een “</w:t>
      </w:r>
      <w:r w:rsidRPr="00520979" w:rsidR="00FD361F">
        <w:rPr>
          <w:sz w:val="20"/>
          <w:szCs w:val="20"/>
          <w:lang w:val="nl-NL"/>
        </w:rPr>
        <w:t>verpakt retail- en verzekeringsgebaseerd beleggingsproduct</w:t>
      </w:r>
      <w:r w:rsidRPr="00520979" w:rsidR="00C336BD">
        <w:rPr>
          <w:sz w:val="20"/>
          <w:szCs w:val="20"/>
          <w:lang w:val="nl-NL"/>
        </w:rPr>
        <w:t>”</w:t>
      </w:r>
      <w:r w:rsidRPr="00520979" w:rsidR="00FD361F">
        <w:rPr>
          <w:sz w:val="20"/>
          <w:szCs w:val="20"/>
          <w:lang w:val="nl-NL"/>
        </w:rPr>
        <w:t xml:space="preserve"> (</w:t>
      </w:r>
      <w:r w:rsidRPr="00520979" w:rsidR="00FD361F">
        <w:rPr>
          <w:i/>
          <w:iCs/>
          <w:sz w:val="20"/>
          <w:szCs w:val="20"/>
          <w:lang w:val="nl-NL"/>
        </w:rPr>
        <w:t>packaged retail and insurance-based investment product</w:t>
      </w:r>
      <w:r w:rsidRPr="00520979" w:rsidR="004D73C7">
        <w:rPr>
          <w:sz w:val="20"/>
          <w:szCs w:val="20"/>
          <w:lang w:val="nl-NL"/>
        </w:rPr>
        <w:t>, “</w:t>
      </w:r>
      <w:r w:rsidRPr="00520979" w:rsidR="004D73C7">
        <w:rPr>
          <w:b/>
          <w:bCs/>
          <w:sz w:val="20"/>
          <w:szCs w:val="20"/>
          <w:lang w:val="nl-NL"/>
        </w:rPr>
        <w:t>PRIIP</w:t>
      </w:r>
      <w:r w:rsidRPr="00520979" w:rsidR="004D73C7">
        <w:rPr>
          <w:sz w:val="20"/>
          <w:szCs w:val="20"/>
          <w:lang w:val="nl-NL"/>
        </w:rPr>
        <w:t>”)</w:t>
      </w:r>
      <w:r w:rsidRPr="00520979" w:rsidR="00C336BD">
        <w:rPr>
          <w:sz w:val="20"/>
          <w:szCs w:val="20"/>
          <w:lang w:val="nl-NL"/>
        </w:rPr>
        <w:t xml:space="preserve"> aan retailbeleggers ter beschikking wordt gesteld.</w:t>
      </w:r>
      <w:r>
        <w:rPr>
          <w:rStyle w:val="FootnoteReference"/>
          <w:sz w:val="20"/>
          <w:szCs w:val="20"/>
          <w:lang w:val="nl-NL"/>
        </w:rPr>
        <w:footnoteReference w:id="4"/>
      </w:r>
      <w:r w:rsidRPr="00520979" w:rsidR="00C336BD">
        <w:rPr>
          <w:sz w:val="20"/>
          <w:szCs w:val="20"/>
          <w:lang w:val="nl-NL"/>
        </w:rPr>
        <w:t xml:space="preserve"> Het begrip PRIIP omvat mede belangen in een alternatieve beleggingsinstelling</w:t>
      </w:r>
      <w:r w:rsidR="00A50A4A">
        <w:rPr>
          <w:sz w:val="20"/>
          <w:szCs w:val="20"/>
          <w:lang w:val="nl-NL"/>
        </w:rPr>
        <w:t xml:space="preserve"> (“</w:t>
      </w:r>
      <w:r w:rsidRPr="00A50A4A" w:rsidR="00A50A4A">
        <w:rPr>
          <w:b/>
          <w:bCs/>
          <w:sz w:val="20"/>
          <w:szCs w:val="20"/>
          <w:lang w:val="nl-NL"/>
        </w:rPr>
        <w:t>ABI</w:t>
      </w:r>
      <w:r w:rsidR="00A50A4A">
        <w:rPr>
          <w:sz w:val="20"/>
          <w:szCs w:val="20"/>
          <w:lang w:val="nl-NL"/>
        </w:rPr>
        <w:t>”)</w:t>
      </w:r>
      <w:r w:rsidRPr="00520979" w:rsidR="00C336BD">
        <w:rPr>
          <w:sz w:val="20"/>
          <w:szCs w:val="20"/>
          <w:lang w:val="nl-NL"/>
        </w:rPr>
        <w:t>.</w:t>
      </w:r>
      <w:r>
        <w:rPr>
          <w:rStyle w:val="FootnoteReference"/>
          <w:sz w:val="20"/>
          <w:szCs w:val="20"/>
          <w:lang w:val="nl-NL"/>
        </w:rPr>
        <w:footnoteReference w:id="5"/>
      </w:r>
      <w:r w:rsidR="00EF0320">
        <w:rPr>
          <w:sz w:val="20"/>
          <w:szCs w:val="20"/>
          <w:lang w:val="nl-NL"/>
        </w:rPr>
        <w:t xml:space="preserve"> </w:t>
      </w:r>
      <w:r w:rsidRPr="002731D7" w:rsidR="002731D7">
        <w:rPr>
          <w:sz w:val="20"/>
          <w:szCs w:val="20"/>
          <w:lang w:val="nl-NL"/>
        </w:rPr>
        <w:t xml:space="preserve">De Gedelegeerde Verordening bevat </w:t>
      </w:r>
      <w:r w:rsidR="002731D7">
        <w:rPr>
          <w:sz w:val="20"/>
          <w:szCs w:val="20"/>
          <w:lang w:val="nl-NL"/>
        </w:rPr>
        <w:t xml:space="preserve">naast algemene bepalingen tevens </w:t>
      </w:r>
      <w:r w:rsidRPr="002731D7" w:rsidR="002731D7">
        <w:rPr>
          <w:sz w:val="20"/>
          <w:szCs w:val="20"/>
          <w:lang w:val="nl-NL"/>
        </w:rPr>
        <w:t>specifieke bepalingen voor het EID van bepaalde ABI’s: (i) ABI’s die uit twee of meer beleggingscompartimenten bestaan</w:t>
      </w:r>
      <w:r>
        <w:rPr>
          <w:rStyle w:val="FootnoteReference"/>
          <w:sz w:val="20"/>
          <w:szCs w:val="20"/>
          <w:lang w:val="nl-NL"/>
        </w:rPr>
        <w:footnoteReference w:id="6"/>
      </w:r>
      <w:r w:rsidRPr="002731D7" w:rsidR="002731D7">
        <w:rPr>
          <w:sz w:val="20"/>
          <w:szCs w:val="20"/>
          <w:lang w:val="nl-NL"/>
        </w:rPr>
        <w:t>; (ii) ABI’s die uit meer dan één categorie van rechten van deelneming of aandelen bestaan</w:t>
      </w:r>
      <w:r>
        <w:rPr>
          <w:rStyle w:val="FootnoteReference"/>
          <w:sz w:val="20"/>
          <w:szCs w:val="20"/>
          <w:lang w:val="nl-NL"/>
        </w:rPr>
        <w:footnoteReference w:id="7"/>
      </w:r>
      <w:r w:rsidRPr="002731D7" w:rsidR="002731D7">
        <w:rPr>
          <w:sz w:val="20"/>
          <w:szCs w:val="20"/>
          <w:lang w:val="nl-NL"/>
        </w:rPr>
        <w:t>; (iii) ABI’s als dakfondsconstructies</w:t>
      </w:r>
      <w:r>
        <w:rPr>
          <w:rStyle w:val="FootnoteReference"/>
          <w:sz w:val="20"/>
          <w:szCs w:val="20"/>
          <w:lang w:val="nl-NL"/>
        </w:rPr>
        <w:footnoteReference w:id="8"/>
      </w:r>
      <w:r w:rsidRPr="002731D7" w:rsidR="002731D7">
        <w:rPr>
          <w:sz w:val="20"/>
          <w:szCs w:val="20"/>
          <w:lang w:val="nl-NL"/>
        </w:rPr>
        <w:t>; en (iv) gestructureerde ABI’s</w:t>
      </w:r>
      <w:r>
        <w:rPr>
          <w:rStyle w:val="FootnoteReference"/>
          <w:sz w:val="20"/>
          <w:szCs w:val="20"/>
          <w:lang w:val="nl-NL"/>
        </w:rPr>
        <w:footnoteReference w:id="9"/>
      </w:r>
      <w:r w:rsidRPr="002731D7" w:rsidR="002731D7">
        <w:rPr>
          <w:sz w:val="20"/>
          <w:szCs w:val="20"/>
          <w:lang w:val="nl-NL"/>
        </w:rPr>
        <w:t>.</w:t>
      </w:r>
      <w:r>
        <w:rPr>
          <w:rStyle w:val="FootnoteReference"/>
          <w:sz w:val="20"/>
          <w:szCs w:val="20"/>
          <w:lang w:val="nl-NL"/>
        </w:rPr>
        <w:footnoteReference w:id="10"/>
      </w:r>
    </w:p>
    <w:p w:rsidR="00FD361F" w:rsidP="00C87D0B" w14:paraId="5038AC05" w14:textId="7AC8BCBF">
      <w:pPr>
        <w:widowControl w:val="0"/>
        <w:ind w:left="720"/>
        <w:jc w:val="both"/>
        <w:rPr>
          <w:sz w:val="20"/>
          <w:szCs w:val="20"/>
          <w:lang w:val="nl-NL"/>
        </w:rPr>
      </w:pPr>
      <w:r w:rsidRPr="00520979">
        <w:rPr>
          <w:sz w:val="20"/>
          <w:szCs w:val="20"/>
          <w:lang w:val="nl-NL"/>
        </w:rPr>
        <w:t xml:space="preserve">Let op: </w:t>
      </w:r>
      <w:r w:rsidRPr="00520979" w:rsidR="00750BF3">
        <w:rPr>
          <w:sz w:val="20"/>
          <w:szCs w:val="20"/>
          <w:lang w:val="nl-NL"/>
        </w:rPr>
        <w:t xml:space="preserve">de term </w:t>
      </w:r>
      <w:r w:rsidRPr="00520979" w:rsidR="007D43E3">
        <w:rPr>
          <w:sz w:val="20"/>
          <w:szCs w:val="20"/>
          <w:lang w:val="nl-NL"/>
        </w:rPr>
        <w:t xml:space="preserve">“retailbelegger” </w:t>
      </w:r>
      <w:r w:rsidRPr="00520979" w:rsidR="00750BF3">
        <w:rPr>
          <w:sz w:val="20"/>
          <w:szCs w:val="20"/>
          <w:lang w:val="nl-NL"/>
        </w:rPr>
        <w:t xml:space="preserve">wordt </w:t>
      </w:r>
      <w:r w:rsidRPr="00520979" w:rsidR="007D43E3">
        <w:rPr>
          <w:sz w:val="20"/>
          <w:szCs w:val="20"/>
          <w:lang w:val="nl-NL"/>
        </w:rPr>
        <w:t>zeer breed gedefinieerd</w:t>
      </w:r>
      <w:r w:rsidRPr="00520979" w:rsidR="00552DA1">
        <w:rPr>
          <w:sz w:val="20"/>
          <w:szCs w:val="20"/>
          <w:lang w:val="nl-NL"/>
        </w:rPr>
        <w:t>.</w:t>
      </w:r>
      <w:r>
        <w:rPr>
          <w:rStyle w:val="FootnoteReference"/>
          <w:sz w:val="20"/>
          <w:szCs w:val="20"/>
          <w:lang w:val="nl-NL"/>
        </w:rPr>
        <w:footnoteReference w:id="11"/>
      </w:r>
      <w:r w:rsidRPr="00520979" w:rsidR="007D43E3">
        <w:rPr>
          <w:sz w:val="20"/>
          <w:szCs w:val="20"/>
          <w:lang w:val="nl-NL"/>
        </w:rPr>
        <w:t xml:space="preserve"> </w:t>
      </w:r>
      <w:r w:rsidRPr="00520979" w:rsidR="00552DA1">
        <w:rPr>
          <w:sz w:val="20"/>
          <w:szCs w:val="20"/>
          <w:lang w:val="nl-NL"/>
        </w:rPr>
        <w:t>H</w:t>
      </w:r>
      <w:r w:rsidRPr="00520979" w:rsidR="007D43E3">
        <w:rPr>
          <w:sz w:val="20"/>
          <w:szCs w:val="20"/>
          <w:lang w:val="nl-NL"/>
        </w:rPr>
        <w:t xml:space="preserve">et gaat om elke partij anders dan een </w:t>
      </w:r>
      <w:r w:rsidRPr="00520979" w:rsidR="00552DA1">
        <w:rPr>
          <w:sz w:val="20"/>
          <w:szCs w:val="20"/>
          <w:lang w:val="nl-NL"/>
        </w:rPr>
        <w:t>“</w:t>
      </w:r>
      <w:r w:rsidRPr="00520979" w:rsidR="007D43E3">
        <w:rPr>
          <w:sz w:val="20"/>
          <w:szCs w:val="20"/>
          <w:lang w:val="nl-NL"/>
        </w:rPr>
        <w:t>professionele client</w:t>
      </w:r>
      <w:r w:rsidRPr="00520979" w:rsidR="00552DA1">
        <w:rPr>
          <w:sz w:val="20"/>
          <w:szCs w:val="20"/>
          <w:lang w:val="nl-NL"/>
        </w:rPr>
        <w:t>”</w:t>
      </w:r>
      <w:r w:rsidRPr="00520979" w:rsidR="007D43E3">
        <w:rPr>
          <w:sz w:val="20"/>
          <w:szCs w:val="20"/>
          <w:lang w:val="nl-NL"/>
        </w:rPr>
        <w:t xml:space="preserve"> als bedoeld in Bijlage II bij </w:t>
      </w:r>
      <w:bookmarkStart w:id="2" w:name="_Hlk36753655"/>
      <w:r w:rsidRPr="00520979" w:rsidR="00DB6CB4">
        <w:rPr>
          <w:sz w:val="20"/>
          <w:szCs w:val="20"/>
          <w:lang w:val="nl-NL"/>
        </w:rPr>
        <w:t xml:space="preserve">de </w:t>
      </w:r>
      <w:r w:rsidRPr="00520979" w:rsidR="00750BF3">
        <w:rPr>
          <w:sz w:val="20"/>
          <w:szCs w:val="20"/>
          <w:lang w:val="nl-NL"/>
        </w:rPr>
        <w:t>(</w:t>
      </w:r>
      <w:r w:rsidRPr="00520979" w:rsidR="00DB6CB4">
        <w:rPr>
          <w:sz w:val="20"/>
          <w:szCs w:val="20"/>
          <w:lang w:val="nl-NL"/>
        </w:rPr>
        <w:t>huidige</w:t>
      </w:r>
      <w:r w:rsidRPr="00520979" w:rsidR="00750BF3">
        <w:rPr>
          <w:sz w:val="20"/>
          <w:szCs w:val="20"/>
          <w:lang w:val="nl-NL"/>
        </w:rPr>
        <w:t>)</w:t>
      </w:r>
      <w:r w:rsidRPr="00520979" w:rsidR="00DB6CB4">
        <w:rPr>
          <w:sz w:val="20"/>
          <w:szCs w:val="20"/>
          <w:lang w:val="nl-NL"/>
        </w:rPr>
        <w:t xml:space="preserve"> EU Richtlijn betreffende markten voor </w:t>
      </w:r>
      <w:r w:rsidRPr="00520979" w:rsidR="00DB6CB4">
        <w:rPr>
          <w:sz w:val="20"/>
          <w:szCs w:val="20"/>
          <w:lang w:val="nl-NL"/>
        </w:rPr>
        <w:t>financiële instrumenten</w:t>
      </w:r>
      <w:r>
        <w:rPr>
          <w:rStyle w:val="FootnoteReference"/>
          <w:sz w:val="20"/>
          <w:szCs w:val="20"/>
          <w:lang w:val="nl-NL"/>
        </w:rPr>
        <w:footnoteReference w:id="12"/>
      </w:r>
      <w:r w:rsidRPr="00520979" w:rsidR="007D43E3">
        <w:rPr>
          <w:sz w:val="20"/>
          <w:szCs w:val="20"/>
          <w:lang w:val="nl-NL"/>
        </w:rPr>
        <w:t xml:space="preserve"> </w:t>
      </w:r>
      <w:bookmarkEnd w:id="2"/>
      <w:r w:rsidRPr="00520979" w:rsidR="00552DA1">
        <w:rPr>
          <w:sz w:val="20"/>
          <w:szCs w:val="20"/>
          <w:lang w:val="nl-NL"/>
        </w:rPr>
        <w:t>(</w:t>
      </w:r>
      <w:r w:rsidRPr="00520979" w:rsidR="00CA3CA2">
        <w:rPr>
          <w:sz w:val="20"/>
          <w:szCs w:val="20"/>
          <w:lang w:val="nl-NL"/>
        </w:rPr>
        <w:t>“</w:t>
      </w:r>
      <w:r w:rsidRPr="00520979" w:rsidR="007D43E3">
        <w:rPr>
          <w:b/>
          <w:bCs/>
          <w:sz w:val="20"/>
          <w:szCs w:val="20"/>
          <w:lang w:val="nl-NL"/>
        </w:rPr>
        <w:t xml:space="preserve">MiFID </w:t>
      </w:r>
      <w:r w:rsidRPr="00520979" w:rsidR="00552DA1">
        <w:rPr>
          <w:b/>
          <w:bCs/>
          <w:sz w:val="20"/>
          <w:szCs w:val="20"/>
          <w:lang w:val="nl-NL"/>
        </w:rPr>
        <w:t>II</w:t>
      </w:r>
      <w:r w:rsidRPr="00520979" w:rsidR="00CA3CA2">
        <w:rPr>
          <w:sz w:val="20"/>
          <w:szCs w:val="20"/>
          <w:lang w:val="nl-NL"/>
        </w:rPr>
        <w:t>”</w:t>
      </w:r>
      <w:r w:rsidRPr="00520979" w:rsidR="00552DA1">
        <w:rPr>
          <w:sz w:val="20"/>
          <w:szCs w:val="20"/>
          <w:lang w:val="nl-NL"/>
        </w:rPr>
        <w:t>)</w:t>
      </w:r>
      <w:r w:rsidRPr="00520979" w:rsidR="007D43E3">
        <w:rPr>
          <w:sz w:val="20"/>
          <w:szCs w:val="20"/>
          <w:lang w:val="nl-NL"/>
        </w:rPr>
        <w:t>:</w:t>
      </w:r>
      <w:r>
        <w:rPr>
          <w:rStyle w:val="FootnoteReference"/>
          <w:sz w:val="20"/>
          <w:szCs w:val="20"/>
          <w:lang w:val="nl-NL"/>
        </w:rPr>
        <w:footnoteReference w:id="13"/>
      </w:r>
      <w:r w:rsidRPr="00520979" w:rsidR="007D43E3">
        <w:rPr>
          <w:sz w:val="20"/>
          <w:szCs w:val="20"/>
          <w:lang w:val="nl-NL"/>
        </w:rPr>
        <w:t xml:space="preserve"> een cliënt die de nodige ervaring, kennis en deskundigheid bezit om zelf beleggingsbeslissingen te nemen en de door hem gelopen risico’s adequaat in te schatten. </w:t>
      </w:r>
      <w:r w:rsidRPr="00520979" w:rsidR="00552DA1">
        <w:rPr>
          <w:sz w:val="20"/>
          <w:szCs w:val="20"/>
          <w:lang w:val="nl-NL"/>
        </w:rPr>
        <w:t>D</w:t>
      </w:r>
      <w:r w:rsidRPr="00520979" w:rsidR="00750BF3">
        <w:rPr>
          <w:sz w:val="20"/>
          <w:szCs w:val="20"/>
          <w:lang w:val="nl-NL"/>
        </w:rPr>
        <w:t>i</w:t>
      </w:r>
      <w:r w:rsidRPr="00520979" w:rsidR="00552DA1">
        <w:rPr>
          <w:sz w:val="20"/>
          <w:szCs w:val="20"/>
          <w:lang w:val="nl-NL"/>
        </w:rPr>
        <w:t>t zijn</w:t>
      </w:r>
      <w:r w:rsidRPr="00520979" w:rsidR="00750BF3">
        <w:rPr>
          <w:sz w:val="20"/>
          <w:szCs w:val="20"/>
          <w:lang w:val="nl-NL"/>
        </w:rPr>
        <w:t>:</w:t>
      </w:r>
      <w:r w:rsidRPr="00520979" w:rsidR="00552DA1">
        <w:rPr>
          <w:sz w:val="20"/>
          <w:szCs w:val="20"/>
          <w:lang w:val="nl-NL"/>
        </w:rPr>
        <w:t xml:space="preserve"> </w:t>
      </w:r>
      <w:r w:rsidRPr="00520979" w:rsidR="00B72242">
        <w:rPr>
          <w:sz w:val="20"/>
          <w:szCs w:val="20"/>
          <w:lang w:val="nl-NL"/>
        </w:rPr>
        <w:t xml:space="preserve">(a) </w:t>
      </w:r>
      <w:r w:rsidRPr="00520979" w:rsidR="00FD43BF">
        <w:rPr>
          <w:sz w:val="20"/>
          <w:szCs w:val="20"/>
          <w:lang w:val="nl-NL"/>
        </w:rPr>
        <w:t>entiteiten die een vergunning moeten hebben of gereglementeerd moeten zijn om op financiële markten actief te mogen zijn</w:t>
      </w:r>
      <w:r w:rsidRPr="00520979" w:rsidR="00B72242">
        <w:rPr>
          <w:sz w:val="20"/>
          <w:szCs w:val="20"/>
          <w:lang w:val="nl-NL"/>
        </w:rPr>
        <w:t>, grote ondernemingen, nationale en regionale overheden, andere institutionele beleggers</w:t>
      </w:r>
      <w:r w:rsidRPr="00520979" w:rsidR="00750BF3">
        <w:rPr>
          <w:sz w:val="20"/>
          <w:szCs w:val="20"/>
          <w:lang w:val="nl-NL"/>
        </w:rPr>
        <w:t>;</w:t>
      </w:r>
      <w:r w:rsidRPr="00520979" w:rsidR="00B72242">
        <w:rPr>
          <w:sz w:val="20"/>
          <w:szCs w:val="20"/>
          <w:lang w:val="nl-NL"/>
        </w:rPr>
        <w:t xml:space="preserve"> en (b) cliënten die op verzoek als professionele </w:t>
      </w:r>
      <w:r w:rsidRPr="00520979" w:rsidR="00E625AB">
        <w:rPr>
          <w:sz w:val="20"/>
          <w:szCs w:val="20"/>
          <w:lang w:val="nl-NL"/>
        </w:rPr>
        <w:t>cliënt</w:t>
      </w:r>
      <w:r w:rsidRPr="00520979" w:rsidR="00B72242">
        <w:rPr>
          <w:sz w:val="20"/>
          <w:szCs w:val="20"/>
          <w:lang w:val="nl-NL"/>
        </w:rPr>
        <w:t xml:space="preserve"> kunnen worden behandeld. </w:t>
      </w:r>
      <w:r w:rsidRPr="00520979" w:rsidR="000F450F">
        <w:rPr>
          <w:sz w:val="20"/>
          <w:szCs w:val="20"/>
          <w:lang w:val="nl-NL"/>
        </w:rPr>
        <w:t>De ervaring leert dat een belegger snel binnen de definitie van een retailbelegger valt</w:t>
      </w:r>
      <w:r w:rsidRPr="00520979" w:rsidR="00750BF3">
        <w:rPr>
          <w:sz w:val="20"/>
          <w:szCs w:val="20"/>
          <w:lang w:val="nl-NL"/>
        </w:rPr>
        <w:t>;</w:t>
      </w:r>
      <w:r w:rsidRPr="00520979" w:rsidR="000F450F">
        <w:rPr>
          <w:sz w:val="20"/>
          <w:szCs w:val="20"/>
          <w:lang w:val="nl-NL"/>
        </w:rPr>
        <w:t xml:space="preserve"> iemand </w:t>
      </w:r>
      <w:r w:rsidRPr="00520979" w:rsidR="007D43E3">
        <w:rPr>
          <w:sz w:val="20"/>
          <w:szCs w:val="20"/>
          <w:lang w:val="nl-NL"/>
        </w:rPr>
        <w:t xml:space="preserve">die EUR 100.000 of meer inlegt valt hier </w:t>
      </w:r>
      <w:r w:rsidRPr="00520979" w:rsidR="00B72242">
        <w:rPr>
          <w:sz w:val="20"/>
          <w:szCs w:val="20"/>
          <w:lang w:val="nl-NL"/>
        </w:rPr>
        <w:t xml:space="preserve">bijvoorbeeld </w:t>
      </w:r>
      <w:r w:rsidRPr="00520979" w:rsidR="007D43E3">
        <w:rPr>
          <w:sz w:val="20"/>
          <w:szCs w:val="20"/>
          <w:lang w:val="nl-NL"/>
        </w:rPr>
        <w:t xml:space="preserve">niet automatisch </w:t>
      </w:r>
      <w:r w:rsidRPr="00520979" w:rsidR="000F450F">
        <w:rPr>
          <w:sz w:val="20"/>
          <w:szCs w:val="20"/>
          <w:lang w:val="nl-NL"/>
        </w:rPr>
        <w:t>buiten</w:t>
      </w:r>
      <w:r w:rsidRPr="00520979" w:rsidR="004E327E">
        <w:rPr>
          <w:sz w:val="20"/>
          <w:szCs w:val="20"/>
          <w:lang w:val="nl-NL"/>
        </w:rPr>
        <w:t xml:space="preserve"> en kan </w:t>
      </w:r>
      <w:r w:rsidRPr="00520979" w:rsidR="000F450F">
        <w:rPr>
          <w:sz w:val="20"/>
          <w:szCs w:val="20"/>
          <w:lang w:val="nl-NL"/>
        </w:rPr>
        <w:t xml:space="preserve">heel </w:t>
      </w:r>
      <w:r w:rsidRPr="00520979" w:rsidR="004E327E">
        <w:rPr>
          <w:sz w:val="20"/>
          <w:szCs w:val="20"/>
          <w:lang w:val="nl-NL"/>
        </w:rPr>
        <w:t>goed een retailbelegger zijn onder de Verordening.</w:t>
      </w:r>
    </w:p>
    <w:p w:rsidR="00641873" w:rsidRPr="00024D7A" w:rsidP="00C87D0B" w14:paraId="025F14FE" w14:textId="291354C1">
      <w:pPr>
        <w:pStyle w:val="ListParagraph"/>
        <w:widowControl w:val="0"/>
        <w:numPr>
          <w:ilvl w:val="0"/>
          <w:numId w:val="3"/>
        </w:numPr>
        <w:spacing w:before="240"/>
        <w:ind w:hanging="720"/>
        <w:contextualSpacing w:val="0"/>
        <w:jc w:val="both"/>
        <w:rPr>
          <w:b/>
          <w:bCs/>
          <w:sz w:val="20"/>
          <w:szCs w:val="20"/>
          <w:lang w:val="nl-NL"/>
        </w:rPr>
      </w:pPr>
      <w:bookmarkStart w:id="3" w:name="_Hlk115086215"/>
      <w:r w:rsidRPr="00024D7A">
        <w:rPr>
          <w:b/>
          <w:bCs/>
          <w:sz w:val="20"/>
          <w:szCs w:val="20"/>
          <w:lang w:val="nl-NL"/>
        </w:rPr>
        <w:t>NVP Document</w:t>
      </w:r>
    </w:p>
    <w:p w:rsidR="00AB29D3" w:rsidRPr="00024D7A" w:rsidP="009C113E" w14:paraId="11E86B6C" w14:textId="1C6DD2A5">
      <w:pPr>
        <w:ind w:left="720"/>
        <w:jc w:val="both"/>
        <w:rPr>
          <w:sz w:val="20"/>
          <w:szCs w:val="20"/>
          <w:lang w:val="nl-NL"/>
        </w:rPr>
      </w:pPr>
      <w:bookmarkEnd w:id="3"/>
      <w:r w:rsidRPr="00024D7A">
        <w:rPr>
          <w:sz w:val="20"/>
          <w:szCs w:val="20"/>
          <w:lang w:val="nl-NL"/>
        </w:rPr>
        <w:t xml:space="preserve">Een EID </w:t>
      </w:r>
      <w:r w:rsidRPr="00024D7A" w:rsidR="009C1102">
        <w:rPr>
          <w:sz w:val="20"/>
          <w:szCs w:val="20"/>
          <w:lang w:val="nl-NL"/>
        </w:rPr>
        <w:t xml:space="preserve">dient de belegger een beter inzicht </w:t>
      </w:r>
      <w:r w:rsidRPr="00024D7A" w:rsidR="00CB0812">
        <w:rPr>
          <w:sz w:val="20"/>
          <w:szCs w:val="20"/>
          <w:lang w:val="nl-NL"/>
        </w:rPr>
        <w:t xml:space="preserve">te geven </w:t>
      </w:r>
      <w:r w:rsidRPr="00024D7A" w:rsidR="009C1102">
        <w:rPr>
          <w:sz w:val="20"/>
          <w:szCs w:val="20"/>
          <w:lang w:val="nl-NL"/>
        </w:rPr>
        <w:t>in de risico’s, kosten en het beoogd rendement</w:t>
      </w:r>
      <w:r w:rsidRPr="00024D7A" w:rsidR="00CB0812">
        <w:rPr>
          <w:sz w:val="20"/>
          <w:szCs w:val="20"/>
          <w:lang w:val="nl-NL"/>
        </w:rPr>
        <w:t xml:space="preserve"> van de producten waarin hij beoogt te beleggen</w:t>
      </w:r>
      <w:r w:rsidRPr="00024D7A" w:rsidR="009C1102">
        <w:rPr>
          <w:sz w:val="20"/>
          <w:szCs w:val="20"/>
          <w:lang w:val="nl-NL"/>
        </w:rPr>
        <w:t xml:space="preserve">, zodat </w:t>
      </w:r>
      <w:r w:rsidRPr="00024D7A" w:rsidR="00CB0812">
        <w:rPr>
          <w:sz w:val="20"/>
          <w:szCs w:val="20"/>
          <w:lang w:val="nl-NL"/>
        </w:rPr>
        <w:t>de belegger</w:t>
      </w:r>
      <w:r w:rsidRPr="00024D7A" w:rsidR="009C1102">
        <w:rPr>
          <w:sz w:val="20"/>
          <w:szCs w:val="20"/>
          <w:lang w:val="nl-NL"/>
        </w:rPr>
        <w:t xml:space="preserve"> verschillende producten </w:t>
      </w:r>
      <w:r w:rsidRPr="00024D7A" w:rsidR="00CB0812">
        <w:rPr>
          <w:sz w:val="20"/>
          <w:szCs w:val="20"/>
          <w:lang w:val="nl-NL"/>
        </w:rPr>
        <w:t xml:space="preserve">met elkaar </w:t>
      </w:r>
      <w:r w:rsidRPr="00024D7A" w:rsidR="009C1102">
        <w:rPr>
          <w:sz w:val="20"/>
          <w:szCs w:val="20"/>
          <w:lang w:val="nl-NL"/>
        </w:rPr>
        <w:t xml:space="preserve">kan vergelijken. Het </w:t>
      </w:r>
      <w:r w:rsidRPr="00024D7A">
        <w:rPr>
          <w:sz w:val="20"/>
          <w:szCs w:val="20"/>
          <w:lang w:val="nl-NL"/>
        </w:rPr>
        <w:t xml:space="preserve">dient </w:t>
      </w:r>
      <w:r w:rsidRPr="00024D7A" w:rsidR="009C1102">
        <w:rPr>
          <w:sz w:val="20"/>
          <w:szCs w:val="20"/>
          <w:lang w:val="nl-NL"/>
        </w:rPr>
        <w:t xml:space="preserve">daarom </w:t>
      </w:r>
      <w:r w:rsidRPr="00024D7A">
        <w:rPr>
          <w:sz w:val="20"/>
          <w:szCs w:val="20"/>
          <w:lang w:val="nl-NL"/>
        </w:rPr>
        <w:t xml:space="preserve">opgesteld te worden volgens een </w:t>
      </w:r>
      <w:r w:rsidRPr="00024D7A" w:rsidR="009C113E">
        <w:rPr>
          <w:sz w:val="20"/>
          <w:szCs w:val="20"/>
          <w:lang w:val="nl-NL"/>
        </w:rPr>
        <w:t>in de Gedelegeerde Verordening opgenomen model (</w:t>
      </w:r>
      <w:r w:rsidRPr="00024D7A" w:rsidR="009C113E">
        <w:rPr>
          <w:i/>
          <w:iCs/>
          <w:sz w:val="20"/>
          <w:szCs w:val="20"/>
          <w:lang w:val="nl-NL"/>
        </w:rPr>
        <w:t>template</w:t>
      </w:r>
      <w:r w:rsidRPr="00024D7A" w:rsidR="009C113E">
        <w:rPr>
          <w:sz w:val="20"/>
          <w:szCs w:val="20"/>
          <w:lang w:val="nl-NL"/>
        </w:rPr>
        <w:t>), welke moet worden ingevuld volgens de voorschriften van de Verordening en de Gedelegeerde Verordening</w:t>
      </w:r>
      <w:r w:rsidRPr="00024D7A">
        <w:rPr>
          <w:sz w:val="20"/>
          <w:szCs w:val="20"/>
          <w:lang w:val="nl-NL"/>
        </w:rPr>
        <w:t>.</w:t>
      </w:r>
      <w:r w:rsidRPr="00024D7A" w:rsidR="008B28EA">
        <w:rPr>
          <w:sz w:val="20"/>
          <w:szCs w:val="20"/>
          <w:lang w:val="nl-NL"/>
        </w:rPr>
        <w:t xml:space="preserve"> </w:t>
      </w:r>
      <w:r w:rsidRPr="00024D7A">
        <w:rPr>
          <w:sz w:val="20"/>
          <w:szCs w:val="20"/>
          <w:lang w:val="nl-NL"/>
        </w:rPr>
        <w:t xml:space="preserve">Dit document neemt </w:t>
      </w:r>
      <w:r w:rsidRPr="00024D7A" w:rsidR="008B28EA">
        <w:rPr>
          <w:sz w:val="20"/>
          <w:szCs w:val="20"/>
          <w:lang w:val="nl-NL"/>
        </w:rPr>
        <w:t xml:space="preserve">uiteraard </w:t>
      </w:r>
      <w:r w:rsidRPr="00024D7A" w:rsidR="009C113E">
        <w:rPr>
          <w:sz w:val="20"/>
          <w:szCs w:val="20"/>
          <w:lang w:val="nl-NL"/>
        </w:rPr>
        <w:t>het voorgeschreven</w:t>
      </w:r>
      <w:r w:rsidRPr="00024D7A">
        <w:rPr>
          <w:sz w:val="20"/>
          <w:szCs w:val="20"/>
          <w:lang w:val="nl-NL"/>
        </w:rPr>
        <w:t xml:space="preserve"> model als uitgangspunt</w:t>
      </w:r>
      <w:r w:rsidRPr="00024D7A" w:rsidR="009C113E">
        <w:rPr>
          <w:sz w:val="20"/>
          <w:szCs w:val="20"/>
          <w:lang w:val="nl-NL"/>
        </w:rPr>
        <w:t>.</w:t>
      </w:r>
    </w:p>
    <w:p w:rsidR="00641873" w:rsidRPr="00024D7A" w:rsidP="009C113E" w14:paraId="1A07C188" w14:textId="1C1C9DE8">
      <w:pPr>
        <w:ind w:left="720"/>
        <w:jc w:val="both"/>
        <w:rPr>
          <w:sz w:val="20"/>
          <w:szCs w:val="20"/>
          <w:lang w:val="nl-NL"/>
        </w:rPr>
      </w:pPr>
      <w:r w:rsidRPr="00024D7A">
        <w:rPr>
          <w:sz w:val="20"/>
          <w:szCs w:val="20"/>
          <w:lang w:val="nl-NL"/>
        </w:rPr>
        <w:t>E</w:t>
      </w:r>
      <w:r w:rsidRPr="00024D7A" w:rsidR="00151443">
        <w:rPr>
          <w:sz w:val="20"/>
          <w:szCs w:val="20"/>
          <w:lang w:val="nl-NL"/>
        </w:rPr>
        <w:t xml:space="preserve">en zeer belangrijk deel van het EID </w:t>
      </w:r>
      <w:r w:rsidRPr="00024D7A" w:rsidR="0074308E">
        <w:rPr>
          <w:sz w:val="20"/>
          <w:szCs w:val="20"/>
          <w:lang w:val="nl-NL"/>
        </w:rPr>
        <w:t xml:space="preserve">model </w:t>
      </w:r>
      <w:r w:rsidRPr="00024D7A" w:rsidR="00151443">
        <w:rPr>
          <w:sz w:val="20"/>
          <w:szCs w:val="20"/>
          <w:lang w:val="nl-NL"/>
        </w:rPr>
        <w:t xml:space="preserve">zoals </w:t>
      </w:r>
      <w:r w:rsidRPr="00024D7A" w:rsidR="0074308E">
        <w:rPr>
          <w:sz w:val="20"/>
          <w:szCs w:val="20"/>
          <w:lang w:val="nl-NL"/>
        </w:rPr>
        <w:t xml:space="preserve">opgenomen </w:t>
      </w:r>
      <w:r w:rsidRPr="00024D7A" w:rsidR="00151443">
        <w:rPr>
          <w:sz w:val="20"/>
          <w:szCs w:val="20"/>
          <w:lang w:val="nl-NL"/>
        </w:rPr>
        <w:t xml:space="preserve">in </w:t>
      </w:r>
      <w:r w:rsidRPr="00024D7A" w:rsidR="0074308E">
        <w:rPr>
          <w:sz w:val="20"/>
          <w:szCs w:val="20"/>
          <w:lang w:val="nl-NL"/>
        </w:rPr>
        <w:t xml:space="preserve">Bijlage I van </w:t>
      </w:r>
      <w:r w:rsidRPr="00024D7A" w:rsidR="00151443">
        <w:rPr>
          <w:sz w:val="20"/>
          <w:szCs w:val="20"/>
          <w:lang w:val="nl-NL"/>
        </w:rPr>
        <w:t xml:space="preserve">dit document (de onderwerpen, maar ook de tekst zelf) is dwingend voorgeschreven en afwijkingen daarvan zijn niet toegestaan. </w:t>
      </w:r>
      <w:r w:rsidRPr="00024D7A" w:rsidR="00A33B0F">
        <w:rPr>
          <w:sz w:val="20"/>
          <w:szCs w:val="20"/>
          <w:lang w:val="nl-NL"/>
        </w:rPr>
        <w:t xml:space="preserve">Aanvullingen en variaties op een aantal punten zijn mogelijk of nodig. </w:t>
      </w:r>
      <w:r w:rsidRPr="00024D7A" w:rsidR="00151443">
        <w:rPr>
          <w:sz w:val="20"/>
          <w:szCs w:val="20"/>
          <w:lang w:val="nl-NL"/>
        </w:rPr>
        <w:t xml:space="preserve">Waar vrijheid bestaat, </w:t>
      </w:r>
      <w:r w:rsidRPr="00024D7A" w:rsidR="0074308E">
        <w:rPr>
          <w:sz w:val="20"/>
          <w:szCs w:val="20"/>
          <w:lang w:val="nl-NL"/>
        </w:rPr>
        <w:t xml:space="preserve">is het EID model zoals opgenomen in Bijlage I </w:t>
      </w:r>
      <w:r w:rsidRPr="00024D7A" w:rsidR="00A04C4A">
        <w:rPr>
          <w:sz w:val="20"/>
          <w:szCs w:val="20"/>
          <w:lang w:val="nl-NL"/>
        </w:rPr>
        <w:t>enigszins uit</w:t>
      </w:r>
      <w:r w:rsidRPr="00024D7A" w:rsidR="0074308E">
        <w:rPr>
          <w:sz w:val="20"/>
          <w:szCs w:val="20"/>
          <w:lang w:val="nl-NL"/>
        </w:rPr>
        <w:t>gewerkt</w:t>
      </w:r>
      <w:r w:rsidRPr="00024D7A" w:rsidR="00506F97">
        <w:rPr>
          <w:sz w:val="20"/>
          <w:szCs w:val="20"/>
          <w:lang w:val="nl-NL"/>
        </w:rPr>
        <w:t xml:space="preserve">, toegesneden op de specifieke situatie dat een Nederlandse beheerder van een closed-end </w:t>
      </w:r>
      <w:r w:rsidR="00A50A4A">
        <w:rPr>
          <w:sz w:val="20"/>
          <w:szCs w:val="20"/>
          <w:lang w:val="nl-NL"/>
        </w:rPr>
        <w:t>ABI</w:t>
      </w:r>
      <w:r w:rsidRPr="00024D7A" w:rsidR="00506F97">
        <w:rPr>
          <w:sz w:val="20"/>
          <w:szCs w:val="20"/>
          <w:lang w:val="nl-NL"/>
        </w:rPr>
        <w:t xml:space="preserve"> verplicht is een EID op te stellen</w:t>
      </w:r>
      <w:r w:rsidRPr="00024D7A" w:rsidR="00A04C4A">
        <w:rPr>
          <w:sz w:val="20"/>
          <w:szCs w:val="20"/>
          <w:lang w:val="nl-NL"/>
        </w:rPr>
        <w:t xml:space="preserve">. </w:t>
      </w:r>
      <w:r w:rsidRPr="00024D7A" w:rsidR="00ED1763">
        <w:rPr>
          <w:sz w:val="20"/>
          <w:szCs w:val="20"/>
          <w:lang w:val="nl-NL"/>
        </w:rPr>
        <w:t xml:space="preserve">De NVP heeft </w:t>
      </w:r>
      <w:r w:rsidRPr="00024D7A" w:rsidR="00AE6922">
        <w:rPr>
          <w:sz w:val="20"/>
          <w:szCs w:val="20"/>
          <w:lang w:val="nl-NL"/>
        </w:rPr>
        <w:t xml:space="preserve">in dat verband </w:t>
      </w:r>
      <w:r w:rsidRPr="00024D7A" w:rsidR="00ED1763">
        <w:rPr>
          <w:sz w:val="20"/>
          <w:szCs w:val="20"/>
          <w:lang w:val="nl-NL"/>
        </w:rPr>
        <w:t>bepaalde aannames gedaan en bepaalde keuzes gemaakt</w:t>
      </w:r>
      <w:r w:rsidRPr="00024D7A">
        <w:rPr>
          <w:sz w:val="20"/>
          <w:szCs w:val="20"/>
          <w:lang w:val="nl-NL"/>
        </w:rPr>
        <w:t>.</w:t>
      </w:r>
    </w:p>
    <w:p w:rsidR="00FE105C" w:rsidRPr="00024D7A" w:rsidP="00AB29D3" w14:paraId="6DD591E8" w14:textId="2837C96D">
      <w:pPr>
        <w:ind w:left="720"/>
        <w:jc w:val="both"/>
        <w:rPr>
          <w:sz w:val="20"/>
          <w:szCs w:val="20"/>
          <w:lang w:val="nl-NL"/>
        </w:rPr>
      </w:pPr>
      <w:r w:rsidRPr="00024D7A">
        <w:rPr>
          <w:sz w:val="20"/>
          <w:szCs w:val="20"/>
          <w:lang w:val="nl-NL"/>
        </w:rPr>
        <w:t>I</w:t>
      </w:r>
      <w:r w:rsidRPr="00024D7A" w:rsidR="00ED1763">
        <w:rPr>
          <w:sz w:val="20"/>
          <w:szCs w:val="20"/>
          <w:lang w:val="nl-NL"/>
        </w:rPr>
        <w:t xml:space="preserve">edere </w:t>
      </w:r>
      <w:r w:rsidRPr="00024D7A" w:rsidR="00AE6922">
        <w:rPr>
          <w:sz w:val="20"/>
          <w:szCs w:val="20"/>
          <w:lang w:val="nl-NL"/>
        </w:rPr>
        <w:t xml:space="preserve">beheerder dient zich als </w:t>
      </w:r>
      <w:r w:rsidRPr="00024D7A" w:rsidR="00ED1763">
        <w:rPr>
          <w:sz w:val="20"/>
          <w:szCs w:val="20"/>
          <w:lang w:val="nl-NL"/>
        </w:rPr>
        <w:t>PRIIP-ontwikkelaar zelf op de hoogte te stellen of d</w:t>
      </w:r>
      <w:r w:rsidRPr="00024D7A" w:rsidR="00AE6922">
        <w:rPr>
          <w:sz w:val="20"/>
          <w:szCs w:val="20"/>
          <w:lang w:val="nl-NL"/>
        </w:rPr>
        <w:t xml:space="preserve">e resulterende tekst </w:t>
      </w:r>
      <w:r w:rsidRPr="00024D7A" w:rsidR="00ED1763">
        <w:rPr>
          <w:sz w:val="20"/>
          <w:szCs w:val="20"/>
          <w:lang w:val="nl-NL"/>
        </w:rPr>
        <w:t xml:space="preserve">gepast </w:t>
      </w:r>
      <w:r w:rsidRPr="00024D7A" w:rsidR="00AE6922">
        <w:rPr>
          <w:sz w:val="20"/>
          <w:szCs w:val="20"/>
          <w:lang w:val="nl-NL"/>
        </w:rPr>
        <w:t xml:space="preserve">is gegeven de karakteristieken van het </w:t>
      </w:r>
      <w:r w:rsidRPr="00024D7A" w:rsidR="006944AF">
        <w:rPr>
          <w:sz w:val="20"/>
          <w:szCs w:val="20"/>
          <w:lang w:val="nl-NL"/>
        </w:rPr>
        <w:t xml:space="preserve">individuele </w:t>
      </w:r>
      <w:r w:rsidRPr="00024D7A" w:rsidR="00AE6922">
        <w:rPr>
          <w:sz w:val="20"/>
          <w:szCs w:val="20"/>
          <w:lang w:val="nl-NL"/>
        </w:rPr>
        <w:t>fonds waar het EID voor gebruikt wordt</w:t>
      </w:r>
      <w:r w:rsidRPr="00024D7A" w:rsidR="00ED1763">
        <w:rPr>
          <w:sz w:val="20"/>
          <w:szCs w:val="20"/>
          <w:lang w:val="nl-NL"/>
        </w:rPr>
        <w:t>.</w:t>
      </w:r>
      <w:r w:rsidRPr="00024D7A">
        <w:rPr>
          <w:sz w:val="20"/>
          <w:szCs w:val="20"/>
          <w:lang w:val="nl-NL"/>
        </w:rPr>
        <w:t xml:space="preserve"> </w:t>
      </w:r>
      <w:r w:rsidRPr="00024D7A" w:rsidR="00AE6922">
        <w:rPr>
          <w:sz w:val="20"/>
          <w:szCs w:val="20"/>
          <w:lang w:val="nl-NL"/>
        </w:rPr>
        <w:t>De tekst en de noten zijn geen volledige opsomming van te gebruiken bewoordingen, alternatieven en geldende regelgeving.</w:t>
      </w:r>
      <w:r w:rsidRPr="00024D7A" w:rsidR="00C976E7">
        <w:rPr>
          <w:sz w:val="20"/>
          <w:szCs w:val="20"/>
          <w:lang w:val="nl-NL"/>
        </w:rPr>
        <w:t xml:space="preserve"> </w:t>
      </w:r>
      <w:r w:rsidRPr="00024D7A" w:rsidR="00ED1763">
        <w:rPr>
          <w:sz w:val="20"/>
          <w:szCs w:val="20"/>
          <w:lang w:val="nl-NL"/>
        </w:rPr>
        <w:t xml:space="preserve">Het gebruik van </w:t>
      </w:r>
      <w:r w:rsidRPr="00024D7A" w:rsidR="0074308E">
        <w:rPr>
          <w:sz w:val="20"/>
          <w:szCs w:val="20"/>
          <w:lang w:val="nl-NL"/>
        </w:rPr>
        <w:t xml:space="preserve">het EID model zoals opgenomen in Bijlage I van dit document </w:t>
      </w:r>
      <w:r w:rsidRPr="00024D7A" w:rsidR="00ED1763">
        <w:rPr>
          <w:sz w:val="20"/>
          <w:szCs w:val="20"/>
          <w:lang w:val="nl-NL"/>
        </w:rPr>
        <w:t xml:space="preserve">geschiedt op eigen verantwoordelijkheid en de NVP </w:t>
      </w:r>
      <w:r w:rsidRPr="00024D7A" w:rsidR="00AE6922">
        <w:rPr>
          <w:sz w:val="20"/>
          <w:szCs w:val="20"/>
          <w:lang w:val="nl-NL"/>
        </w:rPr>
        <w:t xml:space="preserve">kan </w:t>
      </w:r>
      <w:r w:rsidRPr="00024D7A" w:rsidR="00ED1763">
        <w:rPr>
          <w:sz w:val="20"/>
          <w:szCs w:val="20"/>
          <w:lang w:val="nl-NL"/>
        </w:rPr>
        <w:t>geen aansprakelijkheid in dat verband</w:t>
      </w:r>
      <w:r w:rsidRPr="00024D7A" w:rsidR="00AE6922">
        <w:rPr>
          <w:sz w:val="20"/>
          <w:szCs w:val="20"/>
          <w:lang w:val="nl-NL"/>
        </w:rPr>
        <w:t xml:space="preserve"> aanvaarden</w:t>
      </w:r>
      <w:r w:rsidRPr="00024D7A" w:rsidR="00ED1763">
        <w:rPr>
          <w:sz w:val="20"/>
          <w:szCs w:val="20"/>
          <w:lang w:val="nl-NL"/>
        </w:rPr>
        <w:t>.</w:t>
      </w:r>
      <w:r w:rsidRPr="00024D7A" w:rsidR="00AE6922">
        <w:rPr>
          <w:sz w:val="20"/>
          <w:szCs w:val="20"/>
          <w:lang w:val="nl-NL"/>
        </w:rPr>
        <w:t xml:space="preserve"> De NVP raadt haar leden aan zich van ter zake deskundige bijstand te laten voorzien.</w:t>
      </w:r>
      <w:r w:rsidRPr="00024D7A" w:rsidR="001D4272">
        <w:rPr>
          <w:sz w:val="20"/>
          <w:szCs w:val="20"/>
          <w:lang w:val="nl-NL"/>
        </w:rPr>
        <w:t xml:space="preserve"> Dit document is geen juridisch advies.</w:t>
      </w:r>
    </w:p>
    <w:p w:rsidR="00BF60B8" w:rsidRPr="00024D7A" w:rsidP="00B76DDE" w14:paraId="17A9D4A4" w14:textId="7B8AF545">
      <w:pPr>
        <w:pStyle w:val="ListParagraph"/>
        <w:numPr>
          <w:ilvl w:val="0"/>
          <w:numId w:val="3"/>
        </w:numPr>
        <w:spacing w:before="240"/>
        <w:ind w:hanging="720"/>
        <w:contextualSpacing w:val="0"/>
        <w:jc w:val="both"/>
        <w:rPr>
          <w:b/>
          <w:bCs/>
          <w:sz w:val="20"/>
          <w:szCs w:val="20"/>
          <w:lang w:val="nl-NL"/>
        </w:rPr>
      </w:pPr>
      <w:r w:rsidRPr="00024D7A">
        <w:rPr>
          <w:b/>
          <w:bCs/>
          <w:sz w:val="20"/>
          <w:szCs w:val="20"/>
          <w:lang w:val="nl-NL"/>
        </w:rPr>
        <w:t>Vorm EID</w:t>
      </w:r>
    </w:p>
    <w:p w:rsidR="00F94137" w:rsidRPr="00520979" w:rsidP="001D7017" w14:paraId="33E8CC29" w14:textId="7F698DA9">
      <w:pPr>
        <w:widowControl w:val="0"/>
        <w:ind w:left="720"/>
        <w:jc w:val="both"/>
        <w:rPr>
          <w:sz w:val="20"/>
          <w:szCs w:val="20"/>
          <w:lang w:val="nl-NL"/>
        </w:rPr>
      </w:pPr>
      <w:r w:rsidRPr="00520979">
        <w:rPr>
          <w:sz w:val="20"/>
          <w:szCs w:val="20"/>
          <w:lang w:val="nl-NL"/>
        </w:rPr>
        <w:t xml:space="preserve">Het </w:t>
      </w:r>
      <w:r w:rsidRPr="00520979" w:rsidR="00BF60B8">
        <w:rPr>
          <w:sz w:val="20"/>
          <w:szCs w:val="20"/>
          <w:lang w:val="nl-NL"/>
        </w:rPr>
        <w:t xml:space="preserve">model van een EID is </w:t>
      </w:r>
      <w:r w:rsidRPr="00520979" w:rsidR="00B76DDE">
        <w:rPr>
          <w:sz w:val="20"/>
          <w:szCs w:val="20"/>
          <w:lang w:val="nl-NL"/>
        </w:rPr>
        <w:t xml:space="preserve">opgenomen </w:t>
      </w:r>
      <w:r w:rsidRPr="00520979" w:rsidR="00BF60B8">
        <w:rPr>
          <w:sz w:val="20"/>
          <w:szCs w:val="20"/>
          <w:lang w:val="nl-NL"/>
        </w:rPr>
        <w:t>in de Gedelegeerde Verordening</w:t>
      </w:r>
      <w:r w:rsidRPr="00520979" w:rsidR="00B76DDE">
        <w:rPr>
          <w:sz w:val="20"/>
          <w:szCs w:val="20"/>
          <w:lang w:val="nl-NL"/>
        </w:rPr>
        <w:t xml:space="preserve"> en moet worden ingevuld volgens de voorschriften van Verordening en de Gedelegeerde Verordening.</w:t>
      </w:r>
      <w:r>
        <w:rPr>
          <w:rStyle w:val="FootnoteReference"/>
          <w:sz w:val="20"/>
          <w:szCs w:val="20"/>
          <w:lang w:val="nl-NL"/>
        </w:rPr>
        <w:footnoteReference w:id="14"/>
      </w:r>
      <w:r w:rsidRPr="00520979" w:rsidR="00BF60B8">
        <w:rPr>
          <w:sz w:val="20"/>
          <w:szCs w:val="20"/>
          <w:lang w:val="nl-NL"/>
        </w:rPr>
        <w:t xml:space="preserve"> Een </w:t>
      </w:r>
      <w:r w:rsidRPr="00520979">
        <w:rPr>
          <w:sz w:val="20"/>
          <w:szCs w:val="20"/>
          <w:lang w:val="nl-NL"/>
        </w:rPr>
        <w:t xml:space="preserve">EID mag maximaal 3 afgedrukte bladzijden </w:t>
      </w:r>
      <w:r w:rsidRPr="00520979" w:rsidR="0027629C">
        <w:rPr>
          <w:sz w:val="20"/>
          <w:szCs w:val="20"/>
          <w:lang w:val="nl-NL"/>
        </w:rPr>
        <w:t xml:space="preserve">van </w:t>
      </w:r>
      <w:r w:rsidRPr="00520979">
        <w:rPr>
          <w:sz w:val="20"/>
          <w:szCs w:val="20"/>
          <w:lang w:val="nl-NL"/>
        </w:rPr>
        <w:t>A4</w:t>
      </w:r>
      <w:r w:rsidRPr="00520979" w:rsidR="0027629C">
        <w:rPr>
          <w:sz w:val="20"/>
          <w:szCs w:val="20"/>
          <w:lang w:val="nl-NL"/>
        </w:rPr>
        <w:t>-formaat</w:t>
      </w:r>
      <w:r w:rsidRPr="00520979">
        <w:rPr>
          <w:sz w:val="20"/>
          <w:szCs w:val="20"/>
          <w:lang w:val="nl-NL"/>
        </w:rPr>
        <w:t xml:space="preserve"> beslaan,</w:t>
      </w:r>
      <w:r>
        <w:rPr>
          <w:sz w:val="20"/>
          <w:szCs w:val="20"/>
          <w:vertAlign w:val="superscript"/>
          <w:lang w:val="nl-NL"/>
        </w:rPr>
        <w:footnoteReference w:id="15"/>
      </w:r>
      <w:r w:rsidRPr="00520979">
        <w:rPr>
          <w:sz w:val="20"/>
          <w:szCs w:val="20"/>
          <w:lang w:val="nl-NL"/>
        </w:rPr>
        <w:t xml:space="preserve"> mag geen verwijzing naar marketing materiaal bevatten</w:t>
      </w:r>
      <w:r>
        <w:rPr>
          <w:sz w:val="20"/>
          <w:szCs w:val="20"/>
          <w:vertAlign w:val="superscript"/>
          <w:lang w:val="nl-NL"/>
        </w:rPr>
        <w:footnoteReference w:id="16"/>
      </w:r>
      <w:r w:rsidRPr="00520979">
        <w:rPr>
          <w:sz w:val="20"/>
          <w:szCs w:val="20"/>
          <w:lang w:val="nl-NL"/>
        </w:rPr>
        <w:t xml:space="preserve"> en dient in het Nederlands opgesteld te worden.</w:t>
      </w:r>
      <w:r>
        <w:rPr>
          <w:sz w:val="20"/>
          <w:szCs w:val="20"/>
          <w:vertAlign w:val="superscript"/>
          <w:lang w:val="nl-NL"/>
        </w:rPr>
        <w:footnoteReference w:id="17"/>
      </w:r>
      <w:r w:rsidRPr="00520979">
        <w:rPr>
          <w:sz w:val="20"/>
          <w:szCs w:val="20"/>
          <w:lang w:val="nl-NL"/>
        </w:rPr>
        <w:t xml:space="preserve"> Het </w:t>
      </w:r>
      <w:r w:rsidRPr="00520979" w:rsidR="008F5B3A">
        <w:rPr>
          <w:sz w:val="20"/>
          <w:szCs w:val="20"/>
          <w:lang w:val="nl-NL"/>
        </w:rPr>
        <w:t>EID</w:t>
      </w:r>
      <w:r w:rsidRPr="00520979">
        <w:rPr>
          <w:sz w:val="20"/>
          <w:szCs w:val="20"/>
          <w:lang w:val="nl-NL"/>
        </w:rPr>
        <w:t xml:space="preserve"> is een op zichzelf staand </w:t>
      </w:r>
      <w:r w:rsidRPr="00520979">
        <w:rPr>
          <w:sz w:val="20"/>
          <w:szCs w:val="20"/>
          <w:lang w:val="nl-NL"/>
        </w:rPr>
        <w:t>document dat duidelijk verschilt van marketingmaterialen.</w:t>
      </w:r>
      <w:r>
        <w:rPr>
          <w:rStyle w:val="FootnoteReference"/>
          <w:sz w:val="20"/>
          <w:szCs w:val="20"/>
          <w:lang w:val="nl-NL"/>
        </w:rPr>
        <w:footnoteReference w:id="18"/>
      </w:r>
    </w:p>
    <w:p w:rsidR="00506F97" w:rsidRPr="00520979" w:rsidP="00693A30" w14:paraId="4ED1F750" w14:textId="34AF4424">
      <w:pPr>
        <w:widowControl w:val="0"/>
        <w:ind w:left="720"/>
        <w:jc w:val="both"/>
        <w:rPr>
          <w:sz w:val="20"/>
          <w:szCs w:val="20"/>
          <w:lang w:val="nl-NL"/>
        </w:rPr>
      </w:pPr>
      <w:r w:rsidRPr="00520979">
        <w:rPr>
          <w:sz w:val="20"/>
          <w:szCs w:val="20"/>
          <w:lang w:val="nl-NL"/>
        </w:rPr>
        <w:t>Bij elke verandering met belangrijke gevolgen of vermoedelijk belangrijke gevolgen voor de informatie in het EID, en ten minste om de 12 maanden na de datum van eerste publicatie, moet het EID worden geëvalueerd en zo nodig herzien.</w:t>
      </w:r>
      <w:r>
        <w:rPr>
          <w:sz w:val="20"/>
          <w:szCs w:val="20"/>
          <w:vertAlign w:val="superscript"/>
          <w:lang w:val="nl-NL"/>
        </w:rPr>
        <w:footnoteReference w:id="19"/>
      </w:r>
      <w:r w:rsidRPr="00520979" w:rsidR="00384657">
        <w:rPr>
          <w:sz w:val="20"/>
          <w:szCs w:val="20"/>
          <w:lang w:val="nl-NL"/>
        </w:rPr>
        <w:t xml:space="preserve"> </w:t>
      </w:r>
      <w:r w:rsidRPr="00520979" w:rsidR="00202F50">
        <w:rPr>
          <w:sz w:val="20"/>
          <w:szCs w:val="20"/>
          <w:lang w:val="nl-NL"/>
        </w:rPr>
        <w:t>Het herziene document dient op de website gepubliceerd te worde</w:t>
      </w:r>
      <w:r w:rsidRPr="00520979" w:rsidR="00CD3700">
        <w:rPr>
          <w:sz w:val="20"/>
          <w:szCs w:val="20"/>
          <w:lang w:val="nl-NL"/>
        </w:rPr>
        <w:t>n</w:t>
      </w:r>
      <w:r w:rsidRPr="00520979" w:rsidR="00202F50">
        <w:rPr>
          <w:sz w:val="20"/>
          <w:szCs w:val="20"/>
          <w:lang w:val="nl-NL"/>
        </w:rPr>
        <w:t>, h</w:t>
      </w:r>
      <w:r w:rsidRPr="00520979" w:rsidR="00384657">
        <w:rPr>
          <w:sz w:val="20"/>
          <w:szCs w:val="20"/>
          <w:lang w:val="nl-NL"/>
        </w:rPr>
        <w:t xml:space="preserve">et is </w:t>
      </w:r>
      <w:r w:rsidRPr="00520979" w:rsidR="00202F50">
        <w:rPr>
          <w:sz w:val="20"/>
          <w:szCs w:val="20"/>
          <w:lang w:val="nl-NL"/>
        </w:rPr>
        <w:t xml:space="preserve">daarbij </w:t>
      </w:r>
      <w:r w:rsidRPr="00520979" w:rsidR="00384657">
        <w:rPr>
          <w:sz w:val="20"/>
          <w:szCs w:val="20"/>
          <w:lang w:val="nl-NL"/>
        </w:rPr>
        <w:t xml:space="preserve">niet </w:t>
      </w:r>
      <w:r w:rsidRPr="00520979" w:rsidR="00202F50">
        <w:rPr>
          <w:sz w:val="20"/>
          <w:szCs w:val="20"/>
          <w:lang w:val="nl-NL"/>
        </w:rPr>
        <w:t xml:space="preserve">verplicht dit </w:t>
      </w:r>
      <w:r w:rsidRPr="00520979" w:rsidR="00366FA0">
        <w:rPr>
          <w:sz w:val="20"/>
          <w:szCs w:val="20"/>
          <w:lang w:val="nl-NL"/>
        </w:rPr>
        <w:t xml:space="preserve">automatisch </w:t>
      </w:r>
      <w:r w:rsidRPr="00520979" w:rsidR="00202F50">
        <w:rPr>
          <w:sz w:val="20"/>
          <w:szCs w:val="20"/>
          <w:lang w:val="nl-NL"/>
        </w:rPr>
        <w:t>aan alle beleggers te sturen.</w:t>
      </w:r>
      <w:r>
        <w:rPr>
          <w:rStyle w:val="FootnoteReference"/>
          <w:sz w:val="20"/>
          <w:szCs w:val="20"/>
          <w:lang w:val="nl-NL"/>
        </w:rPr>
        <w:footnoteReference w:id="20"/>
      </w:r>
    </w:p>
    <w:p w:rsidR="00BF60B8" w:rsidRPr="00520979" w:rsidP="00971ACF" w14:paraId="6FC244AE" w14:textId="7D68EBDB">
      <w:pPr>
        <w:pStyle w:val="ListParagraph"/>
        <w:numPr>
          <w:ilvl w:val="0"/>
          <w:numId w:val="3"/>
        </w:numPr>
        <w:spacing w:before="240"/>
        <w:ind w:hanging="720"/>
        <w:contextualSpacing w:val="0"/>
        <w:jc w:val="both"/>
        <w:rPr>
          <w:b/>
          <w:bCs/>
          <w:sz w:val="20"/>
          <w:szCs w:val="20"/>
          <w:lang w:val="nl-NL"/>
        </w:rPr>
      </w:pPr>
      <w:r w:rsidRPr="00520979">
        <w:rPr>
          <w:b/>
          <w:bCs/>
          <w:sz w:val="20"/>
          <w:szCs w:val="20"/>
          <w:lang w:val="nl-NL"/>
        </w:rPr>
        <w:t>Ter beschikking stelling</w:t>
      </w:r>
      <w:r w:rsidRPr="00520979" w:rsidR="00641873">
        <w:rPr>
          <w:b/>
          <w:bCs/>
          <w:sz w:val="20"/>
          <w:szCs w:val="20"/>
          <w:lang w:val="nl-NL"/>
        </w:rPr>
        <w:t xml:space="preserve"> EID</w:t>
      </w:r>
    </w:p>
    <w:p w:rsidR="00F94137" w:rsidRPr="00520979" w:rsidP="00E46010" w14:paraId="63E4E807" w14:textId="773CB546">
      <w:pPr>
        <w:ind w:left="720"/>
        <w:jc w:val="both"/>
        <w:rPr>
          <w:sz w:val="20"/>
          <w:szCs w:val="20"/>
          <w:lang w:val="nl-NL"/>
        </w:rPr>
      </w:pPr>
      <w:r w:rsidRPr="00520979">
        <w:rPr>
          <w:sz w:val="20"/>
          <w:szCs w:val="20"/>
          <w:lang w:val="nl-NL"/>
        </w:rPr>
        <w:t xml:space="preserve">Voordat een PRIIP aan retailbeleggers ter beschikking wordt gesteld, stelt de PRIIP-ontwikkelaar het EID </w:t>
      </w:r>
      <w:r w:rsidRPr="00520979" w:rsidR="00971ACF">
        <w:rPr>
          <w:sz w:val="20"/>
          <w:szCs w:val="20"/>
          <w:lang w:val="nl-NL"/>
        </w:rPr>
        <w:t xml:space="preserve">voor dat product op </w:t>
      </w:r>
      <w:r w:rsidRPr="00520979" w:rsidR="00705538">
        <w:rPr>
          <w:sz w:val="20"/>
          <w:szCs w:val="20"/>
          <w:lang w:val="nl-NL"/>
        </w:rPr>
        <w:t>i</w:t>
      </w:r>
      <w:r w:rsidRPr="00520979" w:rsidR="00020A50">
        <w:rPr>
          <w:sz w:val="20"/>
          <w:szCs w:val="20"/>
          <w:lang w:val="nl-NL"/>
        </w:rPr>
        <w:t xml:space="preserve">n overeenstemming met de voorschriften van de Verordening </w:t>
      </w:r>
      <w:r w:rsidR="00017CCF">
        <w:rPr>
          <w:sz w:val="20"/>
          <w:szCs w:val="20"/>
          <w:lang w:val="nl-NL"/>
        </w:rPr>
        <w:t xml:space="preserve">en </w:t>
      </w:r>
      <w:r w:rsidR="007353D5">
        <w:rPr>
          <w:sz w:val="20"/>
          <w:szCs w:val="20"/>
          <w:lang w:val="nl-NL"/>
        </w:rPr>
        <w:t>de Gedeleg</w:t>
      </w:r>
      <w:r w:rsidR="00017CCF">
        <w:rPr>
          <w:sz w:val="20"/>
          <w:szCs w:val="20"/>
          <w:lang w:val="nl-NL"/>
        </w:rPr>
        <w:t>e</w:t>
      </w:r>
      <w:r w:rsidR="007353D5">
        <w:rPr>
          <w:sz w:val="20"/>
          <w:szCs w:val="20"/>
          <w:lang w:val="nl-NL"/>
        </w:rPr>
        <w:t xml:space="preserve">erde Verordening </w:t>
      </w:r>
      <w:r w:rsidRPr="00520979" w:rsidR="00020A50">
        <w:rPr>
          <w:sz w:val="20"/>
          <w:szCs w:val="20"/>
          <w:lang w:val="nl-NL"/>
        </w:rPr>
        <w:t>e</w:t>
      </w:r>
      <w:r w:rsidRPr="00520979">
        <w:rPr>
          <w:sz w:val="20"/>
          <w:szCs w:val="20"/>
          <w:lang w:val="nl-NL"/>
        </w:rPr>
        <w:t>n maakt hij het document op zijn website bekend.</w:t>
      </w:r>
      <w:r>
        <w:rPr>
          <w:rStyle w:val="FootnoteReference"/>
          <w:sz w:val="20"/>
          <w:szCs w:val="20"/>
          <w:lang w:val="nl-NL"/>
        </w:rPr>
        <w:footnoteReference w:id="21"/>
      </w:r>
      <w:r w:rsidRPr="00520979">
        <w:rPr>
          <w:sz w:val="20"/>
          <w:szCs w:val="20"/>
          <w:lang w:val="nl-NL"/>
        </w:rPr>
        <w:t xml:space="preserve"> In marketingcommunicatie </w:t>
      </w:r>
      <w:r w:rsidRPr="00520979" w:rsidR="00020A50">
        <w:rPr>
          <w:sz w:val="20"/>
          <w:szCs w:val="20"/>
          <w:lang w:val="nl-NL"/>
        </w:rPr>
        <w:t>moet worden</w:t>
      </w:r>
      <w:r w:rsidRPr="00520979">
        <w:rPr>
          <w:sz w:val="20"/>
          <w:szCs w:val="20"/>
          <w:lang w:val="nl-NL"/>
        </w:rPr>
        <w:t xml:space="preserve"> vermeld dat er een EID beschikbaar is en </w:t>
      </w:r>
      <w:r w:rsidRPr="00520979" w:rsidR="00897126">
        <w:rPr>
          <w:sz w:val="20"/>
          <w:szCs w:val="20"/>
          <w:lang w:val="nl-NL"/>
        </w:rPr>
        <w:t xml:space="preserve">moet worden aangegeven hoe en waar dit </w:t>
      </w:r>
      <w:r w:rsidRPr="00520979">
        <w:rPr>
          <w:sz w:val="20"/>
          <w:szCs w:val="20"/>
          <w:lang w:val="nl-NL"/>
        </w:rPr>
        <w:t>kan worden verkregen</w:t>
      </w:r>
      <w:r w:rsidRPr="00520979" w:rsidR="00897126">
        <w:rPr>
          <w:sz w:val="20"/>
          <w:szCs w:val="20"/>
          <w:lang w:val="nl-NL"/>
        </w:rPr>
        <w:t>,</w:t>
      </w:r>
      <w:r w:rsidRPr="00520979" w:rsidR="00020A50">
        <w:rPr>
          <w:sz w:val="20"/>
          <w:szCs w:val="20"/>
          <w:lang w:val="nl-NL"/>
        </w:rPr>
        <w:t xml:space="preserve"> en</w:t>
      </w:r>
      <w:r w:rsidRPr="00520979" w:rsidR="00897126">
        <w:rPr>
          <w:sz w:val="20"/>
          <w:szCs w:val="20"/>
          <w:lang w:val="nl-NL"/>
        </w:rPr>
        <w:t xml:space="preserve"> moet ook de </w:t>
      </w:r>
      <w:r w:rsidRPr="00520979">
        <w:rPr>
          <w:sz w:val="20"/>
          <w:szCs w:val="20"/>
          <w:lang w:val="nl-NL"/>
        </w:rPr>
        <w:t>website van de PRIIP-ontwikkelaar</w:t>
      </w:r>
      <w:r w:rsidRPr="00520979" w:rsidR="00020A50">
        <w:rPr>
          <w:sz w:val="20"/>
          <w:szCs w:val="20"/>
          <w:lang w:val="nl-NL"/>
        </w:rPr>
        <w:t xml:space="preserve"> worde</w:t>
      </w:r>
      <w:r w:rsidRPr="00520979" w:rsidR="00897126">
        <w:rPr>
          <w:sz w:val="20"/>
          <w:szCs w:val="20"/>
          <w:lang w:val="nl-NL"/>
        </w:rPr>
        <w:t>n</w:t>
      </w:r>
      <w:r w:rsidRPr="00520979">
        <w:rPr>
          <w:sz w:val="20"/>
          <w:szCs w:val="20"/>
          <w:lang w:val="nl-NL"/>
        </w:rPr>
        <w:t xml:space="preserve"> vermeld.</w:t>
      </w:r>
      <w:r>
        <w:rPr>
          <w:rStyle w:val="FootnoteReference"/>
          <w:sz w:val="20"/>
          <w:szCs w:val="20"/>
          <w:lang w:val="nl-NL"/>
        </w:rPr>
        <w:footnoteReference w:id="22"/>
      </w:r>
      <w:r w:rsidRPr="00520979" w:rsidR="00172C3D">
        <w:rPr>
          <w:sz w:val="20"/>
          <w:szCs w:val="20"/>
          <w:lang w:val="nl-NL"/>
        </w:rPr>
        <w:t xml:space="preserve"> Het EID hoeft niet voorafgaand aan de AFM te worden </w:t>
      </w:r>
      <w:r w:rsidRPr="00520979" w:rsidR="00810115">
        <w:rPr>
          <w:sz w:val="20"/>
          <w:szCs w:val="20"/>
          <w:lang w:val="nl-NL"/>
        </w:rPr>
        <w:t>verstrekt</w:t>
      </w:r>
      <w:r w:rsidRPr="00520979" w:rsidR="00172C3D">
        <w:rPr>
          <w:sz w:val="20"/>
          <w:szCs w:val="20"/>
          <w:lang w:val="nl-NL"/>
        </w:rPr>
        <w:t>.</w:t>
      </w:r>
      <w:r>
        <w:rPr>
          <w:rStyle w:val="FootnoteReference"/>
          <w:sz w:val="20"/>
          <w:szCs w:val="20"/>
          <w:lang w:val="nl-NL"/>
        </w:rPr>
        <w:footnoteReference w:id="23"/>
      </w:r>
    </w:p>
    <w:p w:rsidR="00F94137" w:rsidRPr="00520979" w:rsidP="00E46010" w14:paraId="5774BBA8" w14:textId="70B6AC22">
      <w:pPr>
        <w:ind w:left="720"/>
        <w:jc w:val="both"/>
        <w:rPr>
          <w:sz w:val="20"/>
          <w:szCs w:val="20"/>
          <w:lang w:val="nl-NL"/>
        </w:rPr>
      </w:pPr>
      <w:r w:rsidRPr="00520979">
        <w:rPr>
          <w:sz w:val="20"/>
          <w:szCs w:val="20"/>
          <w:lang w:val="nl-NL"/>
        </w:rPr>
        <w:t>Een persoon die advies geeft over een PRIIP of een PRIIP verkoopt, verstrekt retailbeleggers tijdig het EID voordat deze retailbeleggers door een overeenkomst of aanbod met betrekking tot dat PRIIP zijn gebonden.</w:t>
      </w:r>
      <w:r>
        <w:rPr>
          <w:rStyle w:val="FootnoteReference"/>
          <w:sz w:val="20"/>
          <w:szCs w:val="20"/>
          <w:lang w:val="nl-NL"/>
        </w:rPr>
        <w:footnoteReference w:id="24"/>
      </w:r>
      <w:r w:rsidRPr="00520979">
        <w:rPr>
          <w:sz w:val="20"/>
          <w:szCs w:val="20"/>
          <w:lang w:val="nl-NL"/>
        </w:rPr>
        <w:t xml:space="preserve"> Het EID dient in een vroeg stadium verstrekt te worden, zodat retailbeleggers voldoende tijd hebben om het te bestuderen voordat zij worden gebonden.</w:t>
      </w:r>
    </w:p>
    <w:p w:rsidR="0014741B" w:rsidRPr="00520979" w:rsidP="00E46010" w14:paraId="2AF68DD0" w14:textId="403194D0">
      <w:pPr>
        <w:ind w:left="720"/>
        <w:jc w:val="both"/>
        <w:rPr>
          <w:sz w:val="20"/>
          <w:szCs w:val="20"/>
          <w:lang w:val="nl-NL"/>
        </w:rPr>
      </w:pPr>
      <w:r w:rsidRPr="00520979">
        <w:rPr>
          <w:sz w:val="20"/>
          <w:szCs w:val="20"/>
          <w:lang w:val="nl-NL"/>
        </w:rPr>
        <w:t xml:space="preserve">Een EID dient ook beschikbaar te zijn bij verkoop van een bestaand PRIIP, </w:t>
      </w:r>
      <w:r w:rsidRPr="00520979" w:rsidR="00476E2E">
        <w:rPr>
          <w:sz w:val="20"/>
          <w:szCs w:val="20"/>
          <w:lang w:val="nl-NL"/>
        </w:rPr>
        <w:t>e</w:t>
      </w:r>
      <w:r w:rsidRPr="00520979">
        <w:rPr>
          <w:sz w:val="20"/>
          <w:szCs w:val="20"/>
          <w:lang w:val="nl-NL"/>
        </w:rPr>
        <w:t xml:space="preserve">en secondary transactie. In inleidende para. </w:t>
      </w:r>
      <w:r w:rsidRPr="00520979" w:rsidR="00FE7701">
        <w:rPr>
          <w:sz w:val="20"/>
          <w:szCs w:val="20"/>
          <w:lang w:val="nl-NL"/>
        </w:rPr>
        <w:t>(</w:t>
      </w:r>
      <w:r w:rsidRPr="00520979">
        <w:rPr>
          <w:sz w:val="20"/>
          <w:szCs w:val="20"/>
          <w:lang w:val="nl-NL"/>
        </w:rPr>
        <w:t>12</w:t>
      </w:r>
      <w:r w:rsidRPr="00520979" w:rsidR="00FE7701">
        <w:rPr>
          <w:sz w:val="20"/>
          <w:szCs w:val="20"/>
          <w:lang w:val="nl-NL"/>
        </w:rPr>
        <w:t>)</w:t>
      </w:r>
      <w:r w:rsidRPr="00520979">
        <w:rPr>
          <w:sz w:val="20"/>
          <w:szCs w:val="20"/>
          <w:lang w:val="nl-NL"/>
        </w:rPr>
        <w:t xml:space="preserve"> van de Verordening wordt opgemerkt dat d</w:t>
      </w:r>
      <w:r w:rsidRPr="00520979">
        <w:rPr>
          <w:sz w:val="20"/>
          <w:szCs w:val="20"/>
          <w:lang w:val="nl-NL"/>
        </w:rPr>
        <w:t xml:space="preserve">e verplichtingen betreffende het opstellen </w:t>
      </w:r>
      <w:r w:rsidRPr="00520979">
        <w:rPr>
          <w:sz w:val="20"/>
          <w:szCs w:val="20"/>
          <w:lang w:val="nl-NL"/>
        </w:rPr>
        <w:t xml:space="preserve">en herzien van </w:t>
      </w:r>
      <w:r w:rsidRPr="00520979" w:rsidR="001336BB">
        <w:rPr>
          <w:sz w:val="20"/>
          <w:szCs w:val="20"/>
          <w:lang w:val="nl-NL"/>
        </w:rPr>
        <w:t>h</w:t>
      </w:r>
      <w:r w:rsidRPr="00520979">
        <w:rPr>
          <w:sz w:val="20"/>
          <w:szCs w:val="20"/>
          <w:lang w:val="nl-NL"/>
        </w:rPr>
        <w:t xml:space="preserve">et EID </w:t>
      </w:r>
      <w:r w:rsidRPr="00520979">
        <w:rPr>
          <w:sz w:val="20"/>
          <w:szCs w:val="20"/>
          <w:lang w:val="nl-NL"/>
        </w:rPr>
        <w:t xml:space="preserve">moeten blijven gelden zo lang het PRIIP op secundaire markten verhandeld wordt. </w:t>
      </w:r>
      <w:r w:rsidRPr="00520979" w:rsidR="00476E2E">
        <w:rPr>
          <w:sz w:val="20"/>
          <w:szCs w:val="20"/>
          <w:lang w:val="nl-NL"/>
        </w:rPr>
        <w:t xml:space="preserve">Als </w:t>
      </w:r>
      <w:r w:rsidRPr="00520979" w:rsidR="00FE7701">
        <w:rPr>
          <w:sz w:val="20"/>
          <w:szCs w:val="20"/>
          <w:lang w:val="nl-NL"/>
        </w:rPr>
        <w:t>verhandeling aan retailbeleggers in een secondary ongewenst is, is het voor de beheerder verstandig dit expliciet te maken.</w:t>
      </w:r>
      <w:r>
        <w:rPr>
          <w:rStyle w:val="FootnoteReference"/>
          <w:sz w:val="20"/>
          <w:szCs w:val="20"/>
          <w:lang w:val="nl-NL"/>
        </w:rPr>
        <w:footnoteReference w:id="25"/>
      </w:r>
      <w:r w:rsidRPr="00520979" w:rsidR="00FF14A4">
        <w:rPr>
          <w:sz w:val="20"/>
          <w:szCs w:val="20"/>
          <w:lang w:val="nl-NL"/>
        </w:rPr>
        <w:t xml:space="preserve"> </w:t>
      </w:r>
      <w:r>
        <w:rPr>
          <w:rStyle w:val="FootnoteReference"/>
          <w:sz w:val="20"/>
          <w:szCs w:val="20"/>
          <w:lang w:val="nl-NL"/>
        </w:rPr>
        <w:footnoteReference w:id="26"/>
      </w:r>
    </w:p>
    <w:p w:rsidR="00467B98" w:rsidRPr="00520979" w:rsidP="001558EE" w14:paraId="31D97437" w14:textId="5AC5756D">
      <w:pPr>
        <w:ind w:left="720"/>
        <w:jc w:val="both"/>
        <w:rPr>
          <w:sz w:val="20"/>
          <w:szCs w:val="20"/>
          <w:lang w:val="nl-NL"/>
        </w:rPr>
      </w:pPr>
      <w:r w:rsidRPr="00520979">
        <w:rPr>
          <w:sz w:val="20"/>
          <w:szCs w:val="20"/>
          <w:lang w:val="nl-NL"/>
        </w:rPr>
        <w:t xml:space="preserve">De persoon die advies over een PRIIP geeft of die een PRIIP verkoopt, verstrekt het EID aan de retailbelegger middels een van de volgende media: </w:t>
      </w:r>
      <w:r w:rsidRPr="00520979" w:rsidR="0016775B">
        <w:rPr>
          <w:sz w:val="20"/>
          <w:szCs w:val="20"/>
          <w:lang w:val="nl-NL"/>
        </w:rPr>
        <w:t>(</w:t>
      </w:r>
      <w:r w:rsidRPr="00520979">
        <w:rPr>
          <w:sz w:val="20"/>
          <w:szCs w:val="20"/>
          <w:lang w:val="nl-NL"/>
        </w:rPr>
        <w:t xml:space="preserve">a) op papier, hetgeen de standaardwijze is indien het PRIIP op een persoonlijke basis wordt aangeboden, tenzij de retailbelegger anders verlangt; </w:t>
      </w:r>
      <w:r w:rsidRPr="00520979" w:rsidR="0016775B">
        <w:rPr>
          <w:sz w:val="20"/>
          <w:szCs w:val="20"/>
          <w:lang w:val="nl-NL"/>
        </w:rPr>
        <w:t>(</w:t>
      </w:r>
      <w:r w:rsidRPr="00520979">
        <w:rPr>
          <w:sz w:val="20"/>
          <w:szCs w:val="20"/>
          <w:lang w:val="nl-NL"/>
        </w:rPr>
        <w:t xml:space="preserve">b) </w:t>
      </w:r>
      <w:r w:rsidRPr="00520979" w:rsidR="001558EE">
        <w:rPr>
          <w:sz w:val="20"/>
          <w:szCs w:val="20"/>
          <w:lang w:val="nl-NL"/>
        </w:rPr>
        <w:t>(mits aan bepaalde voorwaarden wordt voldaan</w:t>
      </w:r>
      <w:r>
        <w:rPr>
          <w:rStyle w:val="FootnoteReference"/>
          <w:sz w:val="20"/>
          <w:szCs w:val="20"/>
          <w:lang w:val="nl-NL"/>
        </w:rPr>
        <w:footnoteReference w:id="27"/>
      </w:r>
      <w:r w:rsidRPr="00520979" w:rsidR="001558EE">
        <w:rPr>
          <w:sz w:val="20"/>
          <w:szCs w:val="20"/>
          <w:lang w:val="nl-NL"/>
        </w:rPr>
        <w:t xml:space="preserve">:) </w:t>
      </w:r>
      <w:r w:rsidRPr="00520979">
        <w:rPr>
          <w:sz w:val="20"/>
          <w:szCs w:val="20"/>
          <w:lang w:val="nl-NL"/>
        </w:rPr>
        <w:t>op een andere duurzame drager dan papier</w:t>
      </w:r>
      <w:r w:rsidRPr="00520979" w:rsidR="00E46010">
        <w:rPr>
          <w:sz w:val="20"/>
          <w:szCs w:val="20"/>
          <w:lang w:val="nl-NL"/>
        </w:rPr>
        <w:t>;</w:t>
      </w:r>
      <w:r w:rsidRPr="00520979">
        <w:rPr>
          <w:sz w:val="20"/>
          <w:szCs w:val="20"/>
          <w:lang w:val="nl-NL"/>
        </w:rPr>
        <w:t xml:space="preserve"> of </w:t>
      </w:r>
      <w:r w:rsidRPr="00520979" w:rsidR="0016775B">
        <w:rPr>
          <w:sz w:val="20"/>
          <w:szCs w:val="20"/>
          <w:lang w:val="nl-NL"/>
        </w:rPr>
        <w:t>(</w:t>
      </w:r>
      <w:r w:rsidRPr="00520979">
        <w:rPr>
          <w:sz w:val="20"/>
          <w:szCs w:val="20"/>
          <w:lang w:val="nl-NL"/>
        </w:rPr>
        <w:t>c) via een website</w:t>
      </w:r>
      <w:r w:rsidRPr="00520979" w:rsidR="0016775B">
        <w:rPr>
          <w:sz w:val="20"/>
          <w:szCs w:val="20"/>
          <w:lang w:val="nl-NL"/>
        </w:rPr>
        <w:t>.</w:t>
      </w:r>
      <w:r>
        <w:rPr>
          <w:rStyle w:val="FootnoteReference"/>
          <w:sz w:val="20"/>
          <w:szCs w:val="20"/>
          <w:lang w:val="nl-NL"/>
        </w:rPr>
        <w:footnoteReference w:id="28"/>
      </w:r>
    </w:p>
    <w:p w:rsidR="00467B98" w:rsidRPr="00520979" w:rsidP="005F4A57" w14:paraId="0634D158" w14:textId="12BEB936">
      <w:pPr>
        <w:ind w:left="720"/>
        <w:jc w:val="both"/>
        <w:rPr>
          <w:sz w:val="20"/>
          <w:szCs w:val="20"/>
          <w:lang w:val="nl-NL"/>
        </w:rPr>
      </w:pPr>
      <w:r w:rsidRPr="00520979">
        <w:rPr>
          <w:sz w:val="20"/>
          <w:szCs w:val="20"/>
          <w:lang w:val="nl-NL"/>
        </w:rPr>
        <w:t>De verplichting een EID op te stellen geldt zowel voor beheerders met een vergunning onder de AIFMD, als voor beheerders die daarvan uitgezonderd zijn (“light regime” beheerders</w:t>
      </w:r>
      <w:r w:rsidRPr="00520979" w:rsidR="00DF4980">
        <w:rPr>
          <w:sz w:val="20"/>
          <w:szCs w:val="20"/>
          <w:lang w:val="nl-NL"/>
        </w:rPr>
        <w:t>, al dan niet in het bezit van een EuVECA of EuSEF label</w:t>
      </w:r>
      <w:r w:rsidRPr="00520979">
        <w:rPr>
          <w:sz w:val="20"/>
          <w:szCs w:val="20"/>
          <w:lang w:val="nl-NL"/>
        </w:rPr>
        <w:t>). Beheerders met een AIFMD vergunning zijn echter vrijgesteld van de verplichting een EID op te stellen tot en met 31 december 202</w:t>
      </w:r>
      <w:r w:rsidRPr="00520979" w:rsidR="005F4A57">
        <w:rPr>
          <w:sz w:val="20"/>
          <w:szCs w:val="20"/>
          <w:lang w:val="nl-NL"/>
        </w:rPr>
        <w:t>2</w:t>
      </w:r>
      <w:r w:rsidRPr="00520979">
        <w:rPr>
          <w:sz w:val="20"/>
          <w:szCs w:val="20"/>
          <w:lang w:val="nl-NL"/>
        </w:rPr>
        <w:t>,</w:t>
      </w:r>
      <w:r>
        <w:rPr>
          <w:rStyle w:val="FootnoteReference"/>
          <w:sz w:val="20"/>
          <w:szCs w:val="20"/>
          <w:lang w:val="nl-NL"/>
        </w:rPr>
        <w:footnoteReference w:id="29"/>
      </w:r>
      <w:r w:rsidRPr="00520979">
        <w:rPr>
          <w:sz w:val="20"/>
          <w:szCs w:val="20"/>
          <w:lang w:val="nl-NL"/>
        </w:rPr>
        <w:t xml:space="preserve"> en zij zijn ook niet toegestaan om voor het einde van deze overgangsperiode het EBI te vervangen door het EID.</w:t>
      </w:r>
      <w:r>
        <w:rPr>
          <w:rStyle w:val="FootnoteReference"/>
          <w:sz w:val="20"/>
          <w:szCs w:val="20"/>
          <w:lang w:val="nl-NL"/>
        </w:rPr>
        <w:footnoteReference w:id="30"/>
      </w:r>
    </w:p>
    <w:p w:rsidR="00ED1763" w:rsidRPr="00520979" w:rsidP="00ED1763" w14:paraId="6FFEAEF2" w14:textId="575EF317">
      <w:pPr>
        <w:jc w:val="both"/>
        <w:rPr>
          <w:sz w:val="20"/>
          <w:szCs w:val="20"/>
          <w:lang w:val="nl-NL"/>
        </w:rPr>
      </w:pPr>
      <w:r w:rsidRPr="00520979">
        <w:rPr>
          <w:sz w:val="20"/>
          <w:szCs w:val="20"/>
          <w:lang w:val="nl-NL"/>
        </w:rPr>
        <w:t xml:space="preserve">Bij vragen of opmerkingen </w:t>
      </w:r>
      <w:r w:rsidRPr="00520979" w:rsidR="00C976E7">
        <w:rPr>
          <w:sz w:val="20"/>
          <w:szCs w:val="20"/>
          <w:lang w:val="nl-NL"/>
        </w:rPr>
        <w:t>over dit document kunnen de leden van de NVP zich wenden tot:</w:t>
      </w:r>
    </w:p>
    <w:p w:rsidR="006C2CCB" w:rsidRPr="00520979" w:rsidP="006C2CCB" w14:paraId="55E068B7" w14:textId="7AC92477">
      <w:pPr>
        <w:rPr>
          <w:sz w:val="20"/>
          <w:szCs w:val="20"/>
        </w:rPr>
      </w:pPr>
      <w:r w:rsidRPr="00520979">
        <w:rPr>
          <w:sz w:val="20"/>
          <w:szCs w:val="20"/>
        </w:rPr>
        <w:t>F.S.A. (Felix) Zwart, MSc</w:t>
      </w:r>
      <w:r w:rsidRPr="00520979">
        <w:rPr>
          <w:sz w:val="20"/>
          <w:szCs w:val="20"/>
        </w:rPr>
        <w:br/>
        <w:t>Research &amp; Policy</w:t>
      </w:r>
      <w:r w:rsidRPr="00520979">
        <w:rPr>
          <w:sz w:val="20"/>
          <w:szCs w:val="20"/>
        </w:rPr>
        <w:br/>
      </w:r>
      <w:r w:rsidRPr="00520979">
        <w:rPr>
          <w:b/>
          <w:bCs/>
          <w:sz w:val="20"/>
          <w:szCs w:val="20"/>
        </w:rPr>
        <w:t>T</w:t>
      </w:r>
      <w:r w:rsidRPr="00520979">
        <w:rPr>
          <w:sz w:val="20"/>
          <w:szCs w:val="20"/>
        </w:rPr>
        <w:t xml:space="preserve"> +31 20 571 22 70</w:t>
      </w:r>
      <w:r w:rsidRPr="00520979">
        <w:rPr>
          <w:sz w:val="20"/>
          <w:szCs w:val="20"/>
        </w:rPr>
        <w:br/>
      </w:r>
      <w:r w:rsidRPr="00520979">
        <w:rPr>
          <w:b/>
          <w:bCs/>
          <w:sz w:val="20"/>
          <w:szCs w:val="20"/>
        </w:rPr>
        <w:t>E</w:t>
      </w:r>
      <w:r w:rsidRPr="00520979">
        <w:rPr>
          <w:sz w:val="20"/>
          <w:szCs w:val="20"/>
        </w:rPr>
        <w:t xml:space="preserve"> zwart@nvp.nl</w:t>
      </w:r>
    </w:p>
    <w:p w:rsidR="00024D7A" w:rsidP="00ED1763" w14:paraId="052B778A" w14:textId="47618449">
      <w:pPr>
        <w:jc w:val="both"/>
        <w:rPr>
          <w:sz w:val="20"/>
          <w:szCs w:val="20"/>
        </w:rPr>
      </w:pPr>
    </w:p>
    <w:p w:rsidR="00C87D0B" w:rsidP="00ED1763" w14:paraId="031CB825" w14:textId="7FD10BD3">
      <w:pPr>
        <w:jc w:val="both"/>
        <w:rPr>
          <w:sz w:val="20"/>
          <w:szCs w:val="20"/>
        </w:rPr>
      </w:pPr>
    </w:p>
    <w:p w:rsidR="00C87D0B" w:rsidP="00ED1763" w14:paraId="32324059" w14:textId="4CDB7544">
      <w:pPr>
        <w:jc w:val="both"/>
        <w:rPr>
          <w:sz w:val="20"/>
          <w:szCs w:val="20"/>
        </w:rPr>
      </w:pPr>
    </w:p>
    <w:p w:rsidR="00C87D0B" w:rsidP="00ED1763" w14:paraId="1A2E90DD" w14:textId="07783BFD">
      <w:pPr>
        <w:jc w:val="both"/>
        <w:rPr>
          <w:sz w:val="20"/>
          <w:szCs w:val="20"/>
        </w:rPr>
      </w:pPr>
    </w:p>
    <w:p w:rsidR="00C87D0B" w:rsidP="00ED1763" w14:paraId="2AA21A40" w14:textId="27D5CBB7">
      <w:pPr>
        <w:jc w:val="both"/>
        <w:rPr>
          <w:sz w:val="20"/>
          <w:szCs w:val="20"/>
        </w:rPr>
      </w:pPr>
    </w:p>
    <w:p w:rsidR="00C87D0B" w:rsidRPr="00520979" w:rsidP="00ED1763" w14:paraId="4FF4E360" w14:textId="77777777">
      <w:pPr>
        <w:jc w:val="both"/>
        <w:rPr>
          <w:sz w:val="20"/>
          <w:szCs w:val="20"/>
        </w:rPr>
      </w:pPr>
    </w:p>
    <w:tbl>
      <w:tblPr>
        <w:tblpPr w:vertAnchor="text"/>
        <w:tblW w:w="5000" w:type="pct"/>
        <w:tblCellMar>
          <w:left w:w="0" w:type="dxa"/>
          <w:right w:w="0" w:type="dxa"/>
        </w:tblCellMar>
        <w:tblLook w:val="04A0"/>
      </w:tblPr>
      <w:tblGrid>
        <w:gridCol w:w="4560"/>
        <w:gridCol w:w="4466"/>
      </w:tblGrid>
      <w:tr w14:paraId="3B7877CC" w14:textId="77777777" w:rsidTr="00ED1763">
        <w:tblPrEx>
          <w:tblW w:w="5000" w:type="pct"/>
          <w:tblCellMar>
            <w:left w:w="0" w:type="dxa"/>
            <w:right w:w="0" w:type="dxa"/>
          </w:tblCellMar>
          <w:tblLook w:val="04A0"/>
        </w:tblPrEx>
        <w:tc>
          <w:tcPr>
            <w:tcW w:w="4500" w:type="dxa"/>
            <w:hideMark/>
          </w:tcPr>
          <w:tbl>
            <w:tblPr>
              <w:tblpPr w:leftFromText="45" w:rightFromText="45" w:vertAnchor="text"/>
              <w:tblW w:w="4409" w:type="dxa"/>
              <w:tblCellMar>
                <w:left w:w="0" w:type="dxa"/>
                <w:right w:w="0" w:type="dxa"/>
              </w:tblCellMar>
              <w:tblLook w:val="04A0"/>
            </w:tblPr>
            <w:tblGrid>
              <w:gridCol w:w="4560"/>
            </w:tblGrid>
            <w:tr w14:paraId="2E1F4F29" w14:textId="77777777" w:rsidTr="003E2D73">
              <w:tblPrEx>
                <w:tblW w:w="4409" w:type="dxa"/>
                <w:tblCellMar>
                  <w:left w:w="0" w:type="dxa"/>
                  <w:right w:w="0" w:type="dxa"/>
                </w:tblCellMar>
                <w:tblLook w:val="04A0"/>
              </w:tblPrEx>
              <w:trPr>
                <w:trHeight w:val="2410"/>
              </w:trPr>
              <w:tc>
                <w:tcPr>
                  <w:tcW w:w="0" w:type="auto"/>
                  <w:tcMar>
                    <w:top w:w="0" w:type="dxa"/>
                    <w:left w:w="270" w:type="dxa"/>
                    <w:bottom w:w="135" w:type="dxa"/>
                    <w:right w:w="270" w:type="dxa"/>
                  </w:tcMar>
                  <w:hideMark/>
                </w:tcPr>
                <w:p w:rsidR="00ED1763" w:rsidRPr="00884AC0" w:rsidP="00ED1763" w14:paraId="1476D6E8" w14:textId="77777777">
                  <w:pPr>
                    <w:spacing w:after="0" w:line="300" w:lineRule="auto"/>
                    <w:rPr>
                      <w:rFonts w:ascii="Times New Roman" w:eastAsia="Times New Roman" w:hAnsi="Times New Roman" w:cs="Times New Roman"/>
                      <w:sz w:val="15"/>
                      <w:szCs w:val="15"/>
                      <w:lang w:val="nl-NL"/>
                    </w:rPr>
                  </w:pPr>
                  <w:r w:rsidRPr="00884AC0">
                    <w:rPr>
                      <w:rFonts w:ascii="Arial" w:eastAsia="Times New Roman" w:hAnsi="Arial" w:cs="Arial"/>
                      <w:b/>
                      <w:bCs/>
                      <w:sz w:val="20"/>
                      <w:szCs w:val="20"/>
                      <w:lang w:val="nl-NL"/>
                    </w:rPr>
                    <w:t>Nederlandse Vereniging van Participatiemaatschappijen</w:t>
                  </w:r>
                  <w:r w:rsidRPr="00884AC0">
                    <w:rPr>
                      <w:rFonts w:ascii="Arial" w:eastAsia="Times New Roman" w:hAnsi="Arial" w:cs="Arial"/>
                      <w:sz w:val="20"/>
                      <w:szCs w:val="20"/>
                      <w:lang w:val="nl-NL"/>
                    </w:rPr>
                    <w:br/>
                    <w:t>Noordhollandstraat 71</w:t>
                  </w:r>
                  <w:r w:rsidRPr="00884AC0">
                    <w:rPr>
                      <w:rFonts w:ascii="Arial" w:eastAsia="Times New Roman" w:hAnsi="Arial" w:cs="Arial"/>
                      <w:sz w:val="20"/>
                      <w:szCs w:val="20"/>
                      <w:lang w:val="nl-NL"/>
                    </w:rPr>
                    <w:br/>
                    <w:t>1081 AS Amsterdam</w:t>
                  </w:r>
                  <w:r w:rsidRPr="00884AC0">
                    <w:rPr>
                      <w:rFonts w:ascii="Arial" w:eastAsia="Times New Roman" w:hAnsi="Arial" w:cs="Arial"/>
                      <w:sz w:val="20"/>
                      <w:szCs w:val="20"/>
                      <w:lang w:val="nl-NL"/>
                    </w:rPr>
                    <w:br/>
                  </w:r>
                  <w:r>
                    <w:fldChar w:fldCharType="begin"/>
                  </w:r>
                  <w:r>
                    <w:instrText xml:space="preserve"> HYPERLINK "https://nvp.us10.list-manage.com/track/click?u=3cc93aee58d2264f714041047&amp;id=1669caf2a1&amp;e=2b31db7847" \t "_blank" </w:instrText>
                  </w:r>
                  <w:r>
                    <w:fldChar w:fldCharType="separate"/>
                  </w:r>
                  <w:r w:rsidRPr="00884AC0">
                    <w:rPr>
                      <w:rFonts w:ascii="Arial" w:eastAsia="Times New Roman" w:hAnsi="Arial" w:cs="Arial"/>
                      <w:sz w:val="20"/>
                      <w:szCs w:val="20"/>
                      <w:u w:val="single"/>
                      <w:lang w:val="nl-NL"/>
                    </w:rPr>
                    <w:t>www.nvp.nl</w:t>
                  </w:r>
                  <w:r>
                    <w:fldChar w:fldCharType="end"/>
                  </w:r>
                  <w:r w:rsidRPr="00884AC0">
                    <w:rPr>
                      <w:rFonts w:ascii="Arial" w:eastAsia="Times New Roman" w:hAnsi="Arial" w:cs="Arial"/>
                      <w:sz w:val="18"/>
                      <w:szCs w:val="18"/>
                      <w:lang w:val="nl-NL"/>
                    </w:rPr>
                    <w:br/>
                  </w:r>
                  <w:r w:rsidRPr="00884AC0">
                    <w:rPr>
                      <w:rFonts w:ascii="Arial" w:eastAsia="Times New Roman" w:hAnsi="Arial" w:cs="Arial"/>
                      <w:sz w:val="18"/>
                      <w:szCs w:val="18"/>
                      <w:lang w:val="nl-NL"/>
                    </w:rPr>
                    <w:br/>
                  </w:r>
                  <w:r w:rsidRPr="00884AC0">
                    <w:rPr>
                      <w:rFonts w:ascii="Arial" w:eastAsia="Times New Roman" w:hAnsi="Arial" w:cs="Arial"/>
                      <w:sz w:val="18"/>
                      <w:szCs w:val="18"/>
                      <w:lang w:val="nl-NL"/>
                    </w:rPr>
                    <w:br/>
                  </w:r>
                  <w:r w:rsidRPr="00884AC0">
                    <w:rPr>
                      <w:rFonts w:ascii="Arial" w:eastAsia="Times New Roman" w:hAnsi="Arial" w:cs="Arial"/>
                      <w:noProof/>
                      <w:sz w:val="18"/>
                      <w:szCs w:val="18"/>
                    </w:rPr>
                    <w:drawing>
                      <wp:inline distT="0" distB="0" distL="0" distR="0">
                        <wp:extent cx="2575182" cy="254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505524" name="Picture 10"/>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2588632" cy="255327"/>
                                </a:xfrm>
                                <a:prstGeom prst="rect">
                                  <a:avLst/>
                                </a:prstGeom>
                                <a:noFill/>
                                <a:ln>
                                  <a:noFill/>
                                </a:ln>
                              </pic:spPr>
                            </pic:pic>
                          </a:graphicData>
                        </a:graphic>
                      </wp:inline>
                    </w:drawing>
                  </w:r>
                </w:p>
              </w:tc>
            </w:tr>
          </w:tbl>
          <w:p w:rsidR="00ED1763" w:rsidRPr="00884AC0" w:rsidP="00ED1763" w14:paraId="022C9950" w14:textId="77777777">
            <w:pPr>
              <w:spacing w:after="0" w:line="240" w:lineRule="auto"/>
              <w:rPr>
                <w:rFonts w:ascii="Times New Roman" w:eastAsia="Times New Roman" w:hAnsi="Times New Roman" w:cs="Times New Roman"/>
                <w:sz w:val="20"/>
                <w:szCs w:val="20"/>
                <w:lang w:val="nl-NL"/>
              </w:rPr>
            </w:pPr>
          </w:p>
        </w:tc>
        <w:tc>
          <w:tcPr>
            <w:tcW w:w="4500" w:type="dxa"/>
            <w:hideMark/>
          </w:tcPr>
          <w:tbl>
            <w:tblPr>
              <w:tblpPr w:leftFromText="45" w:rightFromText="45" w:vertAnchor="text"/>
              <w:tblW w:w="4500" w:type="dxa"/>
              <w:tblCellMar>
                <w:left w:w="0" w:type="dxa"/>
                <w:right w:w="0" w:type="dxa"/>
              </w:tblCellMar>
              <w:tblLook w:val="04A0"/>
            </w:tblPr>
            <w:tblGrid>
              <w:gridCol w:w="4500"/>
            </w:tblGrid>
            <w:tr w14:paraId="66AD8929" w14:textId="77777777">
              <w:tblPrEx>
                <w:tblW w:w="4500" w:type="dxa"/>
                <w:tblCellMar>
                  <w:left w:w="0" w:type="dxa"/>
                  <w:right w:w="0" w:type="dxa"/>
                </w:tblCellMar>
                <w:tblLook w:val="04A0"/>
              </w:tblPrEx>
              <w:tc>
                <w:tcPr>
                  <w:tcW w:w="0" w:type="auto"/>
                  <w:tcMar>
                    <w:top w:w="0" w:type="dxa"/>
                    <w:left w:w="270" w:type="dxa"/>
                    <w:bottom w:w="135" w:type="dxa"/>
                    <w:right w:w="270" w:type="dxa"/>
                  </w:tcMar>
                  <w:hideMark/>
                </w:tcPr>
                <w:p w:rsidR="00ED1763" w:rsidRPr="00884AC0" w:rsidP="00D91F8A" w14:paraId="63BD0D21" w14:textId="15C9910B">
                  <w:pPr>
                    <w:spacing w:after="0" w:line="300" w:lineRule="auto"/>
                    <w:jc w:val="right"/>
                    <w:rPr>
                      <w:rFonts w:ascii="Times New Roman" w:eastAsia="Times New Roman" w:hAnsi="Times New Roman" w:cs="Times New Roman"/>
                      <w:sz w:val="15"/>
                      <w:szCs w:val="15"/>
                      <w:lang w:val="nl-NL"/>
                    </w:rPr>
                  </w:pPr>
                  <w:r w:rsidRPr="00884AC0">
                    <w:rPr>
                      <w:rFonts w:ascii="Arial" w:eastAsia="Times New Roman" w:hAnsi="Arial" w:cs="Arial"/>
                      <w:i/>
                      <w:iCs/>
                      <w:sz w:val="20"/>
                      <w:szCs w:val="20"/>
                      <w:lang w:val="nl-NL"/>
                    </w:rPr>
                    <w:t>Copyright © 2020 Nederlandse Vereniging van Participatiemaatschappijen, All rights reserved</w:t>
                  </w:r>
                  <w:r w:rsidRPr="00884AC0">
                    <w:rPr>
                      <w:rFonts w:ascii="Arial" w:eastAsia="Times New Roman" w:hAnsi="Arial" w:cs="Arial"/>
                      <w:i/>
                      <w:iCs/>
                      <w:sz w:val="18"/>
                      <w:szCs w:val="18"/>
                      <w:lang w:val="nl-NL"/>
                    </w:rPr>
                    <w:t>.</w:t>
                  </w:r>
                </w:p>
              </w:tc>
            </w:tr>
          </w:tbl>
          <w:p w:rsidR="00ED1763" w:rsidRPr="00884AC0" w:rsidP="00ED1763" w14:paraId="2A73E72D" w14:textId="77777777">
            <w:pPr>
              <w:spacing w:after="0" w:line="240" w:lineRule="auto"/>
              <w:rPr>
                <w:rFonts w:ascii="Times New Roman" w:eastAsia="Times New Roman" w:hAnsi="Times New Roman" w:cs="Times New Roman"/>
                <w:sz w:val="20"/>
                <w:szCs w:val="20"/>
                <w:lang w:val="nl-NL"/>
              </w:rPr>
            </w:pPr>
          </w:p>
        </w:tc>
      </w:tr>
    </w:tbl>
    <w:p w:rsidR="00024D7A" w14:paraId="10327C60" w14:textId="311E02A0">
      <w:pPr>
        <w:rPr>
          <w:b/>
          <w:bCs/>
          <w:lang w:val="nl-NL"/>
        </w:rPr>
      </w:pPr>
      <w:r w:rsidRPr="00884AC0">
        <w:rPr>
          <w:b/>
          <w:bCs/>
          <w:lang w:val="nl-NL"/>
        </w:rPr>
        <w:br w:type="page"/>
      </w:r>
    </w:p>
    <w:p w:rsidR="00693A30" w:rsidRPr="00693A30" w:rsidP="00693A30" w14:paraId="1781BA69" w14:textId="77777777">
      <w:pPr>
        <w:spacing w:before="160"/>
        <w:jc w:val="center"/>
        <w:rPr>
          <w:b/>
          <w:bCs/>
          <w:lang w:val="nl-NL"/>
        </w:rPr>
      </w:pPr>
      <w:r w:rsidRPr="00693A30">
        <w:rPr>
          <w:b/>
          <w:bCs/>
          <w:lang w:val="nl-NL"/>
        </w:rPr>
        <w:t>Bijlage I</w:t>
      </w:r>
    </w:p>
    <w:p w:rsidR="00693A30" w:rsidRPr="00693A30" w:rsidP="00693A30" w14:paraId="4707F9A5" w14:textId="47378B8B">
      <w:pPr>
        <w:spacing w:before="160"/>
        <w:jc w:val="center"/>
        <w:rPr>
          <w:b/>
          <w:bCs/>
          <w:lang w:val="nl-NL"/>
        </w:rPr>
      </w:pPr>
      <w:r w:rsidRPr="00693A30">
        <w:rPr>
          <w:b/>
          <w:bCs/>
          <w:lang w:val="nl-NL"/>
        </w:rPr>
        <w:t>NVP EID Model</w:t>
      </w:r>
      <w:r w:rsidRPr="00693A30">
        <w:rPr>
          <w:b/>
          <w:bCs/>
          <w:lang w:val="nl-NL"/>
        </w:rPr>
        <w:br w:type="page"/>
      </w:r>
    </w:p>
    <w:p w:rsidR="00024D7A" w:rsidRPr="00884AC0" w14:paraId="1FA3814D" w14:textId="5171D83F">
      <w:pPr>
        <w:rPr>
          <w:lang w:val="nl-NL"/>
        </w:rPr>
      </w:pPr>
    </w:p>
    <w:tbl>
      <w:tblPr>
        <w:tblStyle w:val="GridTable4Accent5"/>
        <w:tblW w:w="10065" w:type="dxa"/>
        <w:tblInd w:w="-431" w:type="dxa"/>
        <w:tblBorders>
          <w:top w:val="single" w:sz="18" w:space="0" w:color="024A6E"/>
          <w:left w:val="single" w:sz="18" w:space="0" w:color="024A6E"/>
          <w:bottom w:val="single" w:sz="18" w:space="0" w:color="024A6E"/>
          <w:right w:val="single" w:sz="18" w:space="0" w:color="024A6E"/>
          <w:insideH w:val="single" w:sz="18" w:space="0" w:color="024A6E"/>
          <w:insideV w:val="single" w:sz="12" w:space="0" w:color="FFFFFF" w:themeColor="background1"/>
        </w:tblBorders>
        <w:tblLook w:val="04A0"/>
      </w:tblPr>
      <w:tblGrid>
        <w:gridCol w:w="10065"/>
      </w:tblGrid>
      <w:tr w14:paraId="4F0DDC2F" w14:textId="719CB003" w:rsidTr="00F8743E">
        <w:tblPrEx>
          <w:tblW w:w="10065" w:type="dxa"/>
          <w:tblInd w:w="-431" w:type="dxa"/>
          <w:tblBorders>
            <w:top w:val="single" w:sz="18" w:space="0" w:color="024A6E"/>
            <w:left w:val="single" w:sz="18" w:space="0" w:color="024A6E"/>
            <w:bottom w:val="single" w:sz="18" w:space="0" w:color="024A6E"/>
            <w:right w:val="single" w:sz="18" w:space="0" w:color="024A6E"/>
            <w:insideH w:val="single" w:sz="18" w:space="0" w:color="024A6E"/>
            <w:insideV w:val="single" w:sz="12" w:space="0" w:color="FFFFFF" w:themeColor="background1"/>
          </w:tblBorders>
          <w:tblLook w:val="04A0"/>
        </w:tblPrEx>
        <w:tc>
          <w:tcPr>
            <w:tcW w:w="10065" w:type="dxa"/>
            <w:shd w:val="clear" w:color="auto" w:fill="024A6E"/>
          </w:tcPr>
          <w:p w:rsidR="00F76515" w:rsidRPr="008C3017" w:rsidP="00F8344D" w14:paraId="23194C84" w14:textId="380BE9C3">
            <w:pPr>
              <w:spacing w:before="120" w:after="120"/>
              <w:jc w:val="center"/>
              <w:rPr>
                <w:sz w:val="32"/>
                <w:szCs w:val="32"/>
                <w:lang w:val="nl-NL"/>
              </w:rPr>
            </w:pPr>
            <w:r w:rsidRPr="008C3017">
              <w:rPr>
                <w:b w:val="0"/>
                <w:sz w:val="32"/>
                <w:szCs w:val="32"/>
                <w:lang w:val="nl-NL"/>
              </w:rPr>
              <w:t>Essentiële-informatiedocument</w:t>
            </w:r>
          </w:p>
        </w:tc>
      </w:tr>
      <w:tr w14:paraId="5FABC9BF" w14:textId="1C992D4F" w:rsidTr="00F8743E">
        <w:tblPrEx>
          <w:tblW w:w="10065" w:type="dxa"/>
          <w:tblInd w:w="-431" w:type="dxa"/>
          <w:tblLook w:val="04A0"/>
        </w:tblPrEx>
        <w:tc>
          <w:tcPr>
            <w:tcW w:w="10065" w:type="dxa"/>
            <w:shd w:val="clear" w:color="auto" w:fill="A3DAFF"/>
          </w:tcPr>
          <w:p w:rsidR="00F76515" w:rsidRPr="0074031B" w:rsidP="005979DD" w14:paraId="064BFBFB" w14:textId="77777777">
            <w:pPr>
              <w:spacing w:before="40" w:after="40"/>
              <w:rPr>
                <w:sz w:val="24"/>
                <w:szCs w:val="24"/>
                <w:lang w:val="nl-NL"/>
              </w:rPr>
            </w:pPr>
            <w:r w:rsidRPr="0074031B">
              <w:rPr>
                <w:sz w:val="24"/>
                <w:szCs w:val="24"/>
                <w:lang w:val="nl-NL"/>
              </w:rPr>
              <w:t>Doel</w:t>
            </w:r>
          </w:p>
          <w:p w:rsidR="00F76515" w:rsidRPr="0074031B" w:rsidP="00D0778B" w14:paraId="3B6C02DF" w14:textId="2C0E7240">
            <w:pPr>
              <w:spacing w:before="40" w:after="40"/>
              <w:jc w:val="both"/>
              <w:rPr>
                <w:sz w:val="24"/>
                <w:szCs w:val="24"/>
                <w:lang w:val="nl-NL"/>
              </w:rPr>
            </w:pPr>
            <w:r w:rsidRPr="00176C9B">
              <w:rPr>
                <w:b w:val="0"/>
                <w:sz w:val="20"/>
                <w:szCs w:val="20"/>
                <w:lang w:val="nl-NL"/>
              </w:rPr>
              <w:t>Dit document geeft u essentiële informatie over dit beleggingsproduct. Het is geen marketingmateriaal. Deze informatie is wettelijk voorgeschreven om u te helpen de aard, de risico’s, de kosten, de mogelijke winsten en verliezen van dit product te begrijpen en u te helpen het met andere producten te vergelijken</w:t>
            </w:r>
            <w:r w:rsidRPr="0074031B">
              <w:rPr>
                <w:b w:val="0"/>
                <w:sz w:val="20"/>
                <w:szCs w:val="20"/>
                <w:lang w:val="nl-NL"/>
              </w:rPr>
              <w:t>.</w:t>
            </w:r>
          </w:p>
        </w:tc>
      </w:tr>
      <w:tr w14:paraId="7DA66F42" w14:textId="39B6F051" w:rsidTr="00F8743E">
        <w:tblPrEx>
          <w:tblW w:w="10065" w:type="dxa"/>
          <w:tblInd w:w="-431" w:type="dxa"/>
          <w:tblLook w:val="04A0"/>
        </w:tblPrEx>
        <w:tc>
          <w:tcPr>
            <w:tcW w:w="10065" w:type="dxa"/>
            <w:tcBorders>
              <w:top w:val="single" w:sz="18" w:space="0" w:color="FFFFFF" w:themeColor="background1"/>
              <w:bottom w:val="single" w:sz="18" w:space="0" w:color="FFFFFF" w:themeColor="background1"/>
            </w:tcBorders>
            <w:shd w:val="clear" w:color="auto" w:fill="FFFFFF" w:themeFill="background1"/>
          </w:tcPr>
          <w:p w:rsidR="00F76515" w:rsidRPr="0074031B" w:rsidP="005979DD" w14:paraId="57EE4920" w14:textId="77777777">
            <w:pPr>
              <w:spacing w:before="40" w:after="40"/>
              <w:rPr>
                <w:sz w:val="24"/>
                <w:szCs w:val="24"/>
                <w:lang w:val="nl-NL"/>
              </w:rPr>
            </w:pPr>
            <w:r w:rsidRPr="0074031B">
              <w:rPr>
                <w:sz w:val="24"/>
                <w:szCs w:val="24"/>
                <w:lang w:val="nl-NL"/>
              </w:rPr>
              <w:t>Product</w:t>
            </w:r>
          </w:p>
          <w:p w:rsidR="00F76515" w:rsidRPr="0074031B" w:rsidP="001D301C" w14:paraId="3A2E1BF5" w14:textId="6B783D7E">
            <w:pPr>
              <w:spacing w:before="40" w:after="40"/>
              <w:jc w:val="both"/>
              <w:rPr>
                <w:sz w:val="24"/>
                <w:szCs w:val="24"/>
                <w:lang w:val="nl-NL"/>
              </w:rPr>
            </w:pPr>
            <w:r w:rsidRPr="0074031B">
              <w:rPr>
                <w:b w:val="0"/>
                <w:bCs w:val="0"/>
                <w:sz w:val="20"/>
                <w:szCs w:val="20"/>
                <w:lang w:val="nl-NL"/>
              </w:rPr>
              <w:t>[</w:t>
            </w:r>
            <w:r w:rsidRPr="00176C9B">
              <w:rPr>
                <w:sz w:val="20"/>
                <w:szCs w:val="20"/>
                <w:lang w:val="nl-NL"/>
              </w:rPr>
              <w:t>NAAM VAN DE ABI</w:t>
            </w:r>
            <w:r w:rsidRPr="0074031B">
              <w:rPr>
                <w:b w:val="0"/>
                <w:bCs w:val="0"/>
                <w:sz w:val="20"/>
                <w:szCs w:val="20"/>
                <w:lang w:val="nl-NL"/>
              </w:rPr>
              <w:t>] (het “</w:t>
            </w:r>
            <w:r w:rsidRPr="0074031B">
              <w:rPr>
                <w:sz w:val="20"/>
                <w:szCs w:val="20"/>
                <w:lang w:val="nl-NL"/>
              </w:rPr>
              <w:t>Fonds</w:t>
            </w:r>
            <w:r w:rsidRPr="00543AA7">
              <w:rPr>
                <w:b w:val="0"/>
                <w:bCs w:val="0"/>
                <w:sz w:val="20"/>
                <w:szCs w:val="20"/>
                <w:lang w:val="nl-NL"/>
              </w:rPr>
              <w:t>”) [AANDELENKLASSE OF BELEGGINGSCOMPARTIMENT]</w:t>
            </w:r>
            <w:r>
              <w:rPr>
                <w:rStyle w:val="EndnoteReference"/>
                <w:b w:val="0"/>
                <w:bCs w:val="0"/>
                <w:sz w:val="20"/>
                <w:szCs w:val="20"/>
                <w:lang w:val="nl-NL"/>
              </w:rPr>
              <w:endnoteReference w:id="2"/>
            </w:r>
            <w:r w:rsidRPr="00543AA7">
              <w:rPr>
                <w:b w:val="0"/>
                <w:bCs w:val="0"/>
                <w:sz w:val="20"/>
                <w:szCs w:val="20"/>
                <w:lang w:val="nl-NL"/>
              </w:rPr>
              <w:t xml:space="preserve"> [</w:t>
            </w:r>
            <w:r w:rsidRPr="00543AA7">
              <w:rPr>
                <w:sz w:val="20"/>
                <w:szCs w:val="20"/>
                <w:lang w:val="nl-NL"/>
              </w:rPr>
              <w:t>NAAM</w:t>
            </w:r>
            <w:r w:rsidRPr="00176C9B">
              <w:rPr>
                <w:sz w:val="20"/>
                <w:szCs w:val="20"/>
                <w:lang w:val="nl-NL"/>
              </w:rPr>
              <w:t xml:space="preserve"> VAN DE BEHEERDER</w:t>
            </w:r>
            <w:r w:rsidRPr="0074031B">
              <w:rPr>
                <w:b w:val="0"/>
                <w:bCs w:val="0"/>
                <w:sz w:val="20"/>
                <w:szCs w:val="20"/>
                <w:lang w:val="nl-NL"/>
              </w:rPr>
              <w:t>] (de “</w:t>
            </w:r>
            <w:r w:rsidRPr="0074031B">
              <w:rPr>
                <w:sz w:val="20"/>
                <w:szCs w:val="20"/>
                <w:lang w:val="nl-NL"/>
              </w:rPr>
              <w:t>Beheerder</w:t>
            </w:r>
            <w:r w:rsidRPr="0074031B">
              <w:rPr>
                <w:b w:val="0"/>
                <w:bCs w:val="0"/>
                <w:sz w:val="20"/>
                <w:szCs w:val="20"/>
                <w:lang w:val="nl-NL"/>
              </w:rPr>
              <w:t xml:space="preserve">”) [INDIEN VAN TOEPASSING ISIN OF UPI] [WEBSITE </w:t>
            </w:r>
            <w:r>
              <w:rPr>
                <w:b w:val="0"/>
                <w:bCs w:val="0"/>
                <w:sz w:val="20"/>
                <w:szCs w:val="20"/>
                <w:lang w:val="nl-NL"/>
              </w:rPr>
              <w:t>VOOR</w:t>
            </w:r>
            <w:r w:rsidRPr="0074031B">
              <w:rPr>
                <w:b w:val="0"/>
                <w:bCs w:val="0"/>
                <w:sz w:val="20"/>
                <w:szCs w:val="20"/>
                <w:lang w:val="nl-NL"/>
              </w:rPr>
              <w:t xml:space="preserve"> DE BEHEERDER].</w:t>
            </w:r>
            <w:r>
              <w:rPr>
                <w:rStyle w:val="EndnoteReference"/>
                <w:b w:val="0"/>
                <w:bCs w:val="0"/>
                <w:sz w:val="20"/>
                <w:szCs w:val="20"/>
                <w:lang w:val="nl-NL"/>
              </w:rPr>
              <w:endnoteReference w:id="3"/>
            </w:r>
            <w:r w:rsidRPr="0074031B">
              <w:rPr>
                <w:b w:val="0"/>
                <w:bCs w:val="0"/>
                <w:sz w:val="20"/>
                <w:szCs w:val="20"/>
                <w:lang w:val="nl-NL"/>
              </w:rPr>
              <w:t xml:space="preserve"> Bel [TELEFOONNUMMER] voor meer informatie. De Autoriteit Financiële Markten is </w:t>
            </w:r>
            <w:r w:rsidRPr="00AC455A">
              <w:rPr>
                <w:b w:val="0"/>
                <w:bCs w:val="0"/>
                <w:sz w:val="20"/>
                <w:szCs w:val="20"/>
                <w:lang w:val="nl-NL"/>
              </w:rPr>
              <w:t>verantwoordelijk voor het toezicht op</w:t>
            </w:r>
            <w:r w:rsidRPr="0074031B">
              <w:rPr>
                <w:b w:val="0"/>
                <w:bCs w:val="0"/>
                <w:sz w:val="20"/>
                <w:szCs w:val="20"/>
                <w:lang w:val="nl-NL"/>
              </w:rPr>
              <w:t xml:space="preserve"> de Beheerder met betrekking tot dit </w:t>
            </w:r>
            <w:r w:rsidRPr="00AC455A">
              <w:rPr>
                <w:b w:val="0"/>
                <w:bCs w:val="0"/>
                <w:sz w:val="20"/>
                <w:szCs w:val="20"/>
                <w:lang w:val="nl-NL"/>
              </w:rPr>
              <w:t>essentiële-informatiedocument</w:t>
            </w:r>
            <w:r>
              <w:rPr>
                <w:b w:val="0"/>
                <w:bCs w:val="0"/>
                <w:sz w:val="20"/>
                <w:szCs w:val="20"/>
                <w:lang w:val="nl-NL"/>
              </w:rPr>
              <w:t>.</w:t>
            </w:r>
            <w:r w:rsidRPr="00AC455A">
              <w:rPr>
                <w:b w:val="0"/>
                <w:bCs w:val="0"/>
                <w:sz w:val="20"/>
                <w:szCs w:val="20"/>
                <w:lang w:val="nl-NL"/>
              </w:rPr>
              <w:t xml:space="preserve"> </w:t>
            </w:r>
            <w:r w:rsidRPr="0074031B">
              <w:rPr>
                <w:b w:val="0"/>
                <w:bCs w:val="0"/>
                <w:sz w:val="20"/>
                <w:szCs w:val="20"/>
                <w:lang w:val="nl-NL"/>
              </w:rPr>
              <w:t>[VERGUNNINGHOUDEND / UITGEZONDERD]</w:t>
            </w:r>
            <w:r>
              <w:rPr>
                <w:rStyle w:val="EndnoteReference"/>
                <w:b w:val="0"/>
                <w:bCs w:val="0"/>
                <w:sz w:val="20"/>
                <w:szCs w:val="20"/>
                <w:lang w:val="nl-NL"/>
              </w:rPr>
              <w:endnoteReference w:id="4"/>
            </w:r>
            <w:r w:rsidRPr="0074031B">
              <w:rPr>
                <w:b w:val="0"/>
                <w:bCs w:val="0"/>
                <w:sz w:val="20"/>
                <w:szCs w:val="20"/>
                <w:lang w:val="nl-NL"/>
              </w:rPr>
              <w:t xml:space="preserve"> Dit document is [opgesteld / herzien] op [DATUM].</w:t>
            </w:r>
            <w:r>
              <w:rPr>
                <w:b w:val="0"/>
                <w:bCs w:val="0"/>
                <w:sz w:val="20"/>
                <w:szCs w:val="20"/>
                <w:lang w:val="nl-NL"/>
              </w:rPr>
              <w:t xml:space="preserve"> [INDIEN VAN TOEPASSING NAAM GROEP]</w:t>
            </w:r>
            <w:r>
              <w:rPr>
                <w:rStyle w:val="EndnoteReference"/>
                <w:b w:val="0"/>
                <w:bCs w:val="0"/>
                <w:sz w:val="20"/>
                <w:szCs w:val="20"/>
                <w:lang w:val="nl-NL"/>
              </w:rPr>
              <w:endnoteReference w:id="5"/>
            </w:r>
            <w:r>
              <w:rPr>
                <w:b w:val="0"/>
                <w:bCs w:val="0"/>
                <w:sz w:val="20"/>
                <w:szCs w:val="20"/>
                <w:lang w:val="nl-NL"/>
              </w:rPr>
              <w:t xml:space="preserve"> [INDIEN VAN TOEPASSING NADERE GEGEVENS INZAKE DE VERGUNNING]</w:t>
            </w:r>
            <w:r>
              <w:rPr>
                <w:rStyle w:val="EndnoteReference"/>
                <w:b w:val="0"/>
                <w:bCs w:val="0"/>
                <w:sz w:val="20"/>
                <w:szCs w:val="20"/>
                <w:lang w:val="nl-NL"/>
              </w:rPr>
              <w:endnoteReference w:id="6"/>
            </w:r>
            <w:r>
              <w:rPr>
                <w:b w:val="0"/>
                <w:bCs w:val="0"/>
                <w:sz w:val="20"/>
                <w:szCs w:val="20"/>
                <w:lang w:val="nl-NL"/>
              </w:rPr>
              <w:t xml:space="preserve"> Het Fonds </w:t>
            </w:r>
            <w:r w:rsidRPr="005B4B2F">
              <w:rPr>
                <w:b w:val="0"/>
                <w:bCs w:val="0"/>
                <w:sz w:val="20"/>
                <w:szCs w:val="20"/>
                <w:lang w:val="nl-NL"/>
              </w:rPr>
              <w:t xml:space="preserve">kwalificeert als </w:t>
            </w:r>
            <w:r>
              <w:rPr>
                <w:b w:val="0"/>
                <w:bCs w:val="0"/>
                <w:sz w:val="20"/>
                <w:szCs w:val="20"/>
                <w:lang w:val="nl-NL"/>
              </w:rPr>
              <w:t>een alternatieve beleggingsinstelling (</w:t>
            </w:r>
            <w:r w:rsidRPr="00B968E4">
              <w:rPr>
                <w:b w:val="0"/>
                <w:bCs w:val="0"/>
                <w:i/>
                <w:iCs/>
                <w:sz w:val="20"/>
                <w:szCs w:val="20"/>
                <w:lang w:val="nl-NL"/>
              </w:rPr>
              <w:t>abi</w:t>
            </w:r>
            <w:r>
              <w:rPr>
                <w:b w:val="0"/>
                <w:bCs w:val="0"/>
                <w:sz w:val="20"/>
                <w:szCs w:val="20"/>
                <w:lang w:val="nl-NL"/>
              </w:rPr>
              <w:t>).</w:t>
            </w:r>
          </w:p>
        </w:tc>
      </w:tr>
      <w:tr w14:paraId="30D9D1AA" w14:textId="15F35941" w:rsidTr="00F8743E">
        <w:tblPrEx>
          <w:tblW w:w="10065" w:type="dxa"/>
          <w:tblInd w:w="-431" w:type="dxa"/>
          <w:tblLook w:val="04A0"/>
        </w:tblPrEx>
        <w:tc>
          <w:tcPr>
            <w:tcW w:w="10065" w:type="dxa"/>
            <w:shd w:val="clear" w:color="auto" w:fill="FFFFFF" w:themeFill="background1"/>
          </w:tcPr>
          <w:p w:rsidR="00F76515" w:rsidRPr="0074031B" w:rsidP="001C0FD2" w14:paraId="33B3BE86" w14:textId="6AB9E821">
            <w:pPr>
              <w:spacing w:before="40" w:after="40"/>
              <w:jc w:val="both"/>
              <w:rPr>
                <w:sz w:val="20"/>
                <w:szCs w:val="20"/>
                <w:lang w:val="nl-NL"/>
              </w:rPr>
            </w:pPr>
            <w:r w:rsidRPr="0074031B">
              <w:rPr>
                <w:sz w:val="20"/>
                <w:szCs w:val="20"/>
                <w:lang w:val="nl-NL"/>
              </w:rPr>
              <w:t>WAARSCHUWING: U staat op het punt een product te kopen dat niet eenvoudig en misschien moeilijk te begrijpen is.</w:t>
            </w:r>
            <w:r>
              <w:rPr>
                <w:rStyle w:val="EndnoteReference"/>
                <w:sz w:val="20"/>
                <w:szCs w:val="20"/>
                <w:lang w:val="nl-NL"/>
              </w:rPr>
              <w:endnoteReference w:id="7"/>
            </w:r>
          </w:p>
        </w:tc>
      </w:tr>
      <w:tr w14:paraId="659B68C3" w14:textId="11A0DF18" w:rsidTr="00F8743E">
        <w:tblPrEx>
          <w:tblW w:w="10065" w:type="dxa"/>
          <w:tblInd w:w="-431" w:type="dxa"/>
          <w:tblLook w:val="04A0"/>
        </w:tblPrEx>
        <w:tc>
          <w:tcPr>
            <w:tcW w:w="10065" w:type="dxa"/>
            <w:tcBorders>
              <w:top w:val="single" w:sz="18" w:space="0" w:color="FFFFFF" w:themeColor="background1"/>
              <w:bottom w:val="single" w:sz="18" w:space="0" w:color="FFFFFF" w:themeColor="background1"/>
            </w:tcBorders>
            <w:shd w:val="clear" w:color="auto" w:fill="A3DAFF"/>
          </w:tcPr>
          <w:p w:rsidR="00F76515" w:rsidRPr="001D7176" w:rsidP="005979DD" w14:paraId="39144E2E" w14:textId="77777777">
            <w:pPr>
              <w:spacing w:before="40" w:after="40"/>
              <w:jc w:val="both"/>
              <w:rPr>
                <w:sz w:val="24"/>
                <w:szCs w:val="24"/>
                <w:lang w:val="nl-NL"/>
              </w:rPr>
            </w:pPr>
            <w:r w:rsidRPr="001D7176">
              <w:rPr>
                <w:sz w:val="24"/>
                <w:szCs w:val="24"/>
                <w:lang w:val="nl-NL"/>
              </w:rPr>
              <w:t>Wat is dit voor een product?</w:t>
            </w:r>
          </w:p>
          <w:p w:rsidR="00F76515" w:rsidRPr="001D7176" w:rsidP="00117FAD" w14:paraId="5B081419" w14:textId="76F85091">
            <w:pPr>
              <w:spacing w:before="40" w:after="40"/>
              <w:jc w:val="both"/>
              <w:rPr>
                <w:b w:val="0"/>
                <w:sz w:val="20"/>
                <w:szCs w:val="20"/>
                <w:lang w:val="nl-NL"/>
              </w:rPr>
            </w:pPr>
            <w:r w:rsidRPr="001D7176">
              <w:rPr>
                <w:sz w:val="20"/>
                <w:szCs w:val="20"/>
                <w:lang w:val="nl-NL"/>
              </w:rPr>
              <w:t>Soort</w:t>
            </w:r>
            <w:r w:rsidRPr="001D7176">
              <w:rPr>
                <w:b w:val="0"/>
                <w:sz w:val="20"/>
                <w:szCs w:val="20"/>
                <w:lang w:val="nl-NL"/>
              </w:rPr>
              <w:t xml:space="preserve">: </w:t>
            </w:r>
            <w:r w:rsidRPr="001D7176">
              <w:rPr>
                <w:b w:val="0"/>
                <w:bCs w:val="0"/>
                <w:sz w:val="20"/>
                <w:szCs w:val="20"/>
                <w:lang w:val="nl-NL"/>
              </w:rPr>
              <w:t>Het Fonds is een [RECHTSVORM]</w:t>
            </w:r>
            <w:r w:rsidRPr="001D7176">
              <w:rPr>
                <w:b w:val="0"/>
                <w:sz w:val="20"/>
                <w:szCs w:val="20"/>
                <w:lang w:val="nl-NL"/>
              </w:rPr>
              <w:t xml:space="preserve">. </w:t>
            </w:r>
          </w:p>
          <w:p w:rsidR="00F76515" w:rsidRPr="001D7176" w:rsidP="00E71061" w14:paraId="5FF7F7AB" w14:textId="77777777">
            <w:pPr>
              <w:spacing w:before="120" w:after="40"/>
              <w:jc w:val="both"/>
              <w:rPr>
                <w:b w:val="0"/>
                <w:bCs w:val="0"/>
                <w:sz w:val="20"/>
                <w:szCs w:val="20"/>
                <w:lang w:val="nl-NL"/>
              </w:rPr>
            </w:pPr>
            <w:r w:rsidRPr="001D7176">
              <w:rPr>
                <w:sz w:val="20"/>
                <w:szCs w:val="20"/>
                <w:lang w:val="nl-NL"/>
              </w:rPr>
              <w:t>Looptijd</w:t>
            </w:r>
            <w:r w:rsidRPr="001D7176">
              <w:rPr>
                <w:b w:val="0"/>
                <w:bCs w:val="0"/>
                <w:sz w:val="20"/>
                <w:szCs w:val="20"/>
                <w:lang w:val="nl-NL"/>
              </w:rPr>
              <w:t xml:space="preserve">: </w:t>
            </w:r>
            <w:r w:rsidRPr="001D7176">
              <w:rPr>
                <w:b w:val="0"/>
                <w:sz w:val="20"/>
                <w:szCs w:val="20"/>
                <w:lang w:val="nl-NL"/>
              </w:rPr>
              <w:t>De vervaldatum van het Fonds is [EINDE TOTALE TERMIJN], met mogelijke verlening [VERLENGING]. [OMSTANDIGHEDEN VAN AUTOMATISCHE BEËINDIGING, OVERIGE BEËINDIGINGSGRONDEN]. [De Beheerder kan het Fonds [niet] eenzijdig ontbinden.]</w:t>
            </w:r>
          </w:p>
          <w:p w:rsidR="00F76515" w:rsidRPr="00C87923" w:rsidP="00E71061" w14:paraId="46E54D3D" w14:textId="35A77B23">
            <w:pPr>
              <w:spacing w:before="120" w:after="40"/>
              <w:jc w:val="both"/>
              <w:rPr>
                <w:bCs w:val="0"/>
                <w:sz w:val="20"/>
                <w:szCs w:val="20"/>
                <w:lang w:val="nl-NL"/>
              </w:rPr>
            </w:pPr>
            <w:r w:rsidRPr="001D7176">
              <w:rPr>
                <w:sz w:val="20"/>
                <w:szCs w:val="20"/>
                <w:lang w:val="nl-NL"/>
              </w:rPr>
              <w:t>Doelstellingen</w:t>
            </w:r>
            <w:r w:rsidRPr="001D7176">
              <w:rPr>
                <w:b w:val="0"/>
                <w:sz w:val="20"/>
                <w:szCs w:val="20"/>
                <w:lang w:val="nl-NL"/>
              </w:rPr>
              <w:t xml:space="preserve">: Het doel van het Fonds is het genereren van [INKOMEN EN KAPITAALSGROEI] tegen [HOOG] risico voor [HOOG] rendement. Het Fonds zal participeren in risicodragend kapitaal [STRATEGIE – DIRECT OF INDIRECTE BELANGEN IN ONDERNEMINGEN, INSTRUMENTENSOORTEN, GEOGRAFIE, MARKTSEGEMENTEN]. [MILEUDOELSTELLINGEN OF SOCIALE DOELSTELLINGEN]. De voornaamste factoren die de hoogte van het rendement bepalen zijn de prestaties van [INVESTERINGEN, ECONOMISCHE FACTOREN, KOSTEN, INVESTERINGSMOGELIJKHEDEN]. Het rendement van het Fonds wordt </w:t>
            </w:r>
            <w:r w:rsidRPr="00C87923">
              <w:rPr>
                <w:b w:val="0"/>
                <w:sz w:val="20"/>
                <w:szCs w:val="20"/>
                <w:lang w:val="nl-NL"/>
              </w:rPr>
              <w:t>bepaald door [JAARLIJKS] de onderliggende [NETTO VERMOGENSWAARDE] van het Fonds vast te stellen, op basis van [WAARDERINGSREGELS].</w:t>
            </w:r>
            <w:r>
              <w:rPr>
                <w:rStyle w:val="EndnoteReference"/>
                <w:b w:val="0"/>
                <w:sz w:val="20"/>
                <w:szCs w:val="20"/>
                <w:lang w:val="nl-NL"/>
              </w:rPr>
              <w:endnoteReference w:id="8"/>
            </w:r>
            <w:r w:rsidR="00A81F7D">
              <w:rPr>
                <w:b w:val="0"/>
                <w:sz w:val="20"/>
                <w:szCs w:val="20"/>
                <w:lang w:val="nl-NL"/>
              </w:rPr>
              <w:t xml:space="preserve"> </w:t>
            </w:r>
            <w:r w:rsidRPr="00A81F7D" w:rsidR="00A81F7D">
              <w:rPr>
                <w:b w:val="0"/>
                <w:sz w:val="20"/>
                <w:szCs w:val="20"/>
                <w:lang w:val="nl-NL"/>
              </w:rPr>
              <w:t>De investeringen van het Fonds hebben een illiquide karakter,</w:t>
            </w:r>
            <w:r>
              <w:rPr>
                <w:rStyle w:val="EndnoteReference"/>
                <w:b w:val="0"/>
                <w:sz w:val="20"/>
                <w:szCs w:val="20"/>
                <w:lang w:val="nl-NL"/>
              </w:rPr>
              <w:endnoteReference w:id="9"/>
            </w:r>
            <w:r w:rsidRPr="00A81F7D" w:rsidR="00A81F7D">
              <w:rPr>
                <w:b w:val="0"/>
                <w:sz w:val="20"/>
                <w:szCs w:val="20"/>
                <w:lang w:val="nl-NL"/>
              </w:rPr>
              <w:t xml:space="preserve"> de marktwaarde kan hierdoor niet goed worden bepaald.</w:t>
            </w:r>
          </w:p>
          <w:p w:rsidR="00F76515" w:rsidRPr="001D7176" w:rsidP="00E71061" w14:paraId="65D0E923" w14:textId="77777777">
            <w:pPr>
              <w:spacing w:before="120" w:after="40"/>
              <w:jc w:val="both"/>
              <w:rPr>
                <w:bCs w:val="0"/>
                <w:sz w:val="20"/>
                <w:szCs w:val="20"/>
                <w:lang w:val="nl-NL"/>
              </w:rPr>
            </w:pPr>
            <w:r w:rsidRPr="00C87923">
              <w:rPr>
                <w:bCs w:val="0"/>
                <w:sz w:val="20"/>
                <w:szCs w:val="20"/>
                <w:lang w:val="nl-NL"/>
              </w:rPr>
              <w:t>Essenti</w:t>
            </w:r>
            <w:r w:rsidRPr="00C87923">
              <w:rPr>
                <w:rFonts w:cstheme="minorHAnsi"/>
                <w:bCs w:val="0"/>
                <w:sz w:val="20"/>
                <w:szCs w:val="20"/>
                <w:lang w:val="nl-NL"/>
              </w:rPr>
              <w:t>ë</w:t>
            </w:r>
            <w:r w:rsidRPr="00C87923">
              <w:rPr>
                <w:bCs w:val="0"/>
                <w:sz w:val="20"/>
                <w:szCs w:val="20"/>
                <w:lang w:val="nl-NL"/>
              </w:rPr>
              <w:t>le kenmerken</w:t>
            </w:r>
            <w:r w:rsidRPr="00C87923">
              <w:rPr>
                <w:b w:val="0"/>
                <w:sz w:val="20"/>
                <w:szCs w:val="20"/>
                <w:lang w:val="nl-NL"/>
              </w:rPr>
              <w:t xml:space="preserve">: [ESSENTIELE </w:t>
            </w:r>
            <w:r w:rsidRPr="001D7176">
              <w:rPr>
                <w:b w:val="0"/>
                <w:sz w:val="20"/>
                <w:szCs w:val="20"/>
                <w:lang w:val="nl-NL"/>
              </w:rPr>
              <w:t>KENMERKEN VAN HET FONDS]</w:t>
            </w:r>
            <w:r>
              <w:rPr>
                <w:rStyle w:val="EndnoteReference"/>
                <w:b w:val="0"/>
                <w:sz w:val="20"/>
                <w:szCs w:val="20"/>
                <w:lang w:val="nl-NL"/>
              </w:rPr>
              <w:endnoteReference w:id="10"/>
            </w:r>
          </w:p>
          <w:p w:rsidR="00F76515" w:rsidRPr="001D7176" w:rsidP="001D02FE" w14:paraId="1A8CC49A" w14:textId="77777777">
            <w:pPr>
              <w:spacing w:before="120" w:after="40"/>
              <w:jc w:val="both"/>
              <w:rPr>
                <w:bCs w:val="0"/>
                <w:sz w:val="20"/>
                <w:szCs w:val="20"/>
                <w:lang w:val="nl-NL"/>
              </w:rPr>
            </w:pPr>
            <w:r w:rsidRPr="001D7176">
              <w:rPr>
                <w:sz w:val="20"/>
                <w:szCs w:val="20"/>
                <w:lang w:val="nl-NL"/>
              </w:rPr>
              <w:t>Retailbeleggersdoelgroep</w:t>
            </w:r>
            <w:r w:rsidRPr="001D7176">
              <w:rPr>
                <w:b w:val="0"/>
                <w:bCs w:val="0"/>
                <w:sz w:val="20"/>
                <w:szCs w:val="20"/>
                <w:lang w:val="nl-NL"/>
              </w:rPr>
              <w:t>:</w:t>
            </w:r>
            <w:r w:rsidRPr="001D7176">
              <w:rPr>
                <w:sz w:val="20"/>
                <w:szCs w:val="20"/>
                <w:lang w:val="nl-NL"/>
              </w:rPr>
              <w:t xml:space="preserve"> </w:t>
            </w:r>
            <w:r w:rsidRPr="001D7176">
              <w:rPr>
                <w:b w:val="0"/>
                <w:bCs w:val="0"/>
                <w:sz w:val="20"/>
                <w:szCs w:val="20"/>
                <w:lang w:val="nl-NL"/>
              </w:rPr>
              <w:t>Belangen in het</w:t>
            </w:r>
            <w:r w:rsidRPr="001D7176">
              <w:rPr>
                <w:b w:val="0"/>
                <w:sz w:val="20"/>
                <w:szCs w:val="20"/>
                <w:lang w:val="nl-NL"/>
              </w:rPr>
              <w:t xml:space="preserve"> Fonds worden aangeboden aan [ZOWEL PROFESSIONELE ALS NIET-PROFESSIONELE BELEGGERS] die vermogensgroei voor ogen hebben, in [PRIVATE EQUITY] willen beleggen, die een verlies van de gehele waarde van hun investering in (of commitment aan) het Fonds kunnen dragen, en een lange beleggingshorizon hebben.</w:t>
            </w:r>
            <w:r>
              <w:rPr>
                <w:rStyle w:val="EndnoteReference"/>
                <w:b w:val="0"/>
                <w:sz w:val="20"/>
                <w:szCs w:val="20"/>
                <w:lang w:val="nl-NL"/>
              </w:rPr>
              <w:endnoteReference w:id="11"/>
            </w:r>
            <w:r w:rsidRPr="001D7176">
              <w:rPr>
                <w:b w:val="0"/>
                <w:sz w:val="20"/>
                <w:szCs w:val="20"/>
                <w:lang w:val="nl-NL"/>
              </w:rPr>
              <w:t xml:space="preserve"> De minimale deelnamesom per belegger bedraagt [EUR].</w:t>
            </w:r>
          </w:p>
          <w:p w:rsidR="00F76515" w:rsidRPr="001D7176" w:rsidP="00C603C6" w14:paraId="639B48F9" w14:textId="485CB7AA">
            <w:pPr>
              <w:spacing w:before="120" w:after="40"/>
              <w:jc w:val="both"/>
              <w:rPr>
                <w:sz w:val="24"/>
                <w:szCs w:val="24"/>
                <w:lang w:val="nl-NL"/>
              </w:rPr>
            </w:pPr>
            <w:r w:rsidRPr="001D7176">
              <w:rPr>
                <w:sz w:val="20"/>
                <w:szCs w:val="20"/>
                <w:lang w:val="nl-NL"/>
              </w:rPr>
              <w:t>Overige informatie</w:t>
            </w:r>
            <w:r w:rsidRPr="001D7176">
              <w:rPr>
                <w:b w:val="0"/>
                <w:bCs w:val="0"/>
                <w:sz w:val="20"/>
                <w:szCs w:val="20"/>
                <w:lang w:val="nl-NL"/>
              </w:rPr>
              <w:t>: [VOOR ELKE LIDSTAAT WAARIN HET FONDS WORDT VERHANDELD:] [INDIEN VAN TOEPASSING NAAM BEWAARDER] Verdere informatie over het Fonds, kopieën van [het prospectus van het Fonds][de beschrijving van de beleggingsstrategie en -doelstellingen van het Fonds] en/of het meest recente jaarverslag van het Fonds kunnen worden verkregen [BESCHRIJVING PLAATS EN WIJZE]. Deze documenten zijn beschikbaar in [VERMELDING TAAL OF TALEN] en kunnen kosteloos worden verkregen. Andere praktische informatie, met inbegrip van de plaats waar de meest recente prijzen van rechten van deelneming in het Fonds te vinden zijn, kan worden verkregen [BESCHRIJVING PLAATS EN WIJZE].</w:t>
            </w:r>
            <w:r>
              <w:rPr>
                <w:rStyle w:val="EndnoteReference"/>
                <w:b w:val="0"/>
                <w:bCs w:val="0"/>
                <w:sz w:val="20"/>
                <w:szCs w:val="20"/>
                <w:lang w:val="nl-NL"/>
              </w:rPr>
              <w:endnoteReference w:id="12"/>
            </w:r>
            <w:r w:rsidR="00607F6C">
              <w:rPr>
                <w:b w:val="0"/>
                <w:bCs w:val="0"/>
                <w:sz w:val="20"/>
                <w:szCs w:val="20"/>
                <w:lang w:val="nl-NL"/>
              </w:rPr>
              <w:t xml:space="preserve"> </w:t>
            </w:r>
            <w:r>
              <w:rPr>
                <w:rStyle w:val="EndnoteReference"/>
                <w:b w:val="0"/>
                <w:bCs w:val="0"/>
                <w:sz w:val="20"/>
                <w:szCs w:val="20"/>
                <w:lang w:val="nl-NL"/>
              </w:rPr>
              <w:endnoteReference w:id="13"/>
            </w:r>
          </w:p>
        </w:tc>
      </w:tr>
      <w:tr w14:paraId="5CEAF46C" w14:textId="574B6D92" w:rsidTr="00F8743E">
        <w:tblPrEx>
          <w:tblW w:w="10065" w:type="dxa"/>
          <w:tblInd w:w="-431" w:type="dxa"/>
          <w:tblLook w:val="04A0"/>
        </w:tblPrEx>
        <w:tc>
          <w:tcPr>
            <w:tcW w:w="10065" w:type="dxa"/>
            <w:tcBorders>
              <w:bottom w:val="single" w:sz="18" w:space="0" w:color="FFFFFF" w:themeColor="background1"/>
            </w:tcBorders>
            <w:shd w:val="clear" w:color="auto" w:fill="FFFFFF" w:themeFill="background1"/>
          </w:tcPr>
          <w:p w:rsidR="003A7C21" w:rsidP="00C603C6" w14:paraId="53EBA960" w14:textId="165EC212">
            <w:pPr>
              <w:spacing w:before="40" w:after="40"/>
              <w:jc w:val="both"/>
              <w:rPr>
                <w:b w:val="0"/>
                <w:bCs w:val="0"/>
                <w:sz w:val="24"/>
                <w:szCs w:val="24"/>
                <w:lang w:val="nl-NL"/>
              </w:rPr>
            </w:pPr>
            <w:r w:rsidRPr="003A7C21">
              <w:rPr>
                <w:sz w:val="24"/>
                <w:szCs w:val="24"/>
                <w:lang w:val="nl-NL"/>
              </w:rPr>
              <w:t>Wat zijn de risico’s en wat kan ik ervoor terugkrijgen?</w:t>
            </w:r>
            <w:r>
              <w:rPr>
                <w:rStyle w:val="EndnoteReference"/>
                <w:sz w:val="24"/>
                <w:szCs w:val="24"/>
                <w:lang w:val="nl-NL"/>
              </w:rPr>
              <w:endnoteReference w:id="14"/>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20"/>
            </w:tblGrid>
            <w:tr w14:paraId="33950990" w14:textId="77777777" w:rsidTr="00414EE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820" w:type="dxa"/>
                </w:tcPr>
                <w:p w:rsidR="00C603C6" w:rsidRPr="00D0778B" w:rsidP="00D0778B" w14:paraId="4895BD89" w14:textId="438D4E18">
                  <w:pPr>
                    <w:spacing w:before="40" w:after="40"/>
                    <w:ind w:left="-64"/>
                    <w:jc w:val="center"/>
                    <w:rPr>
                      <w:b/>
                      <w:bCs/>
                      <w:i/>
                      <w:iCs/>
                      <w:sz w:val="20"/>
                      <w:szCs w:val="20"/>
                      <w:lang w:val="nl-NL"/>
                    </w:rPr>
                  </w:pPr>
                  <w:r w:rsidRPr="00D0778B">
                    <w:rPr>
                      <w:b/>
                      <w:bCs/>
                      <w:i/>
                      <w:iCs/>
                      <w:sz w:val="20"/>
                      <w:szCs w:val="20"/>
                      <w:lang w:val="nl-NL"/>
                    </w:rPr>
                    <w:t>Samenvattende risico-indicator (SRI)</w:t>
                  </w:r>
                </w:p>
              </w:tc>
            </w:tr>
            <w:tr w14:paraId="28C7EDE3" w14:textId="77777777" w:rsidTr="00B86922">
              <w:tblPrEx>
                <w:tblW w:w="0" w:type="auto"/>
                <w:tblLook w:val="04A0"/>
              </w:tblPrEx>
              <w:tc>
                <w:tcPr>
                  <w:tcW w:w="9820" w:type="dxa"/>
                </w:tcPr>
                <w:tbl>
                  <w:tblPr>
                    <w:tblStyle w:val="TableGrid1"/>
                    <w:tblW w:w="0" w:type="auto"/>
                    <w:jc w:val="center"/>
                    <w:tblLook w:val="04A0"/>
                  </w:tblPr>
                  <w:tblGrid>
                    <w:gridCol w:w="420"/>
                    <w:gridCol w:w="603"/>
                    <w:gridCol w:w="419"/>
                    <w:gridCol w:w="140"/>
                    <w:gridCol w:w="411"/>
                    <w:gridCol w:w="419"/>
                    <w:gridCol w:w="551"/>
                    <w:gridCol w:w="419"/>
                    <w:gridCol w:w="551"/>
                    <w:gridCol w:w="419"/>
                    <w:gridCol w:w="551"/>
                    <w:gridCol w:w="419"/>
                    <w:gridCol w:w="239"/>
                    <w:gridCol w:w="312"/>
                    <w:gridCol w:w="475"/>
                    <w:gridCol w:w="551"/>
                    <w:gridCol w:w="420"/>
                  </w:tblGrid>
                  <w:tr w14:paraId="6E1D4E23" w14:textId="77777777" w:rsidTr="00C603C6">
                    <w:tblPrEx>
                      <w:tblW w:w="0" w:type="auto"/>
                      <w:jc w:val="center"/>
                      <w:tblLook w:val="04A0"/>
                    </w:tblPrEx>
                    <w:trPr>
                      <w:jc w:val="center"/>
                    </w:trPr>
                    <w:tc>
                      <w:tcPr>
                        <w:tcW w:w="420" w:type="dxa"/>
                        <w:tcBorders>
                          <w:top w:val="nil"/>
                          <w:left w:val="nil"/>
                          <w:bottom w:val="nil"/>
                          <w:right w:val="nil"/>
                        </w:tcBorders>
                        <w:shd w:val="clear" w:color="auto" w:fill="1F3864" w:themeFill="accent5" w:themeFillShade="80"/>
                      </w:tcPr>
                      <w:p w:rsidR="00C603C6" w:rsidRPr="005D3267" w:rsidP="0014663B" w14:paraId="5D29A99A" w14:textId="77777777">
                        <w:pPr>
                          <w:rPr>
                            <w:rFonts w:ascii="Arial" w:eastAsia="Calibri" w:hAnsi="Arial" w:cs="Arial"/>
                            <w:sz w:val="16"/>
                            <w:szCs w:val="16"/>
                          </w:rPr>
                        </w:pPr>
                      </w:p>
                    </w:tc>
                    <w:tc>
                      <w:tcPr>
                        <w:tcW w:w="603" w:type="dxa"/>
                        <w:tcBorders>
                          <w:top w:val="nil"/>
                          <w:left w:val="nil"/>
                          <w:bottom w:val="single" w:sz="18" w:space="0" w:color="FFFFFF"/>
                          <w:right w:val="nil"/>
                        </w:tcBorders>
                        <w:shd w:val="clear" w:color="auto" w:fill="1F3864" w:themeFill="accent5" w:themeFillShade="80"/>
                      </w:tcPr>
                      <w:p w:rsidR="00C603C6" w:rsidRPr="005D3267" w:rsidP="0014663B" w14:paraId="225C5D80" w14:textId="77777777">
                        <w:pPr>
                          <w:rPr>
                            <w:rFonts w:ascii="Arial" w:eastAsia="Calibri" w:hAnsi="Arial" w:cs="Arial"/>
                            <w:sz w:val="16"/>
                            <w:szCs w:val="16"/>
                          </w:rPr>
                        </w:pPr>
                      </w:p>
                    </w:tc>
                    <w:tc>
                      <w:tcPr>
                        <w:tcW w:w="419" w:type="dxa"/>
                        <w:tcBorders>
                          <w:top w:val="nil"/>
                          <w:left w:val="nil"/>
                          <w:bottom w:val="nil"/>
                          <w:right w:val="nil"/>
                        </w:tcBorders>
                        <w:shd w:val="clear" w:color="auto" w:fill="1F3864" w:themeFill="accent5" w:themeFillShade="80"/>
                      </w:tcPr>
                      <w:p w:rsidR="00C603C6" w:rsidRPr="005D3267" w:rsidP="0014663B" w14:paraId="4C7BC833" w14:textId="77777777">
                        <w:pPr>
                          <w:rPr>
                            <w:rFonts w:ascii="Arial" w:eastAsia="Calibri" w:hAnsi="Arial" w:cs="Arial"/>
                            <w:sz w:val="16"/>
                            <w:szCs w:val="16"/>
                          </w:rPr>
                        </w:pPr>
                      </w:p>
                    </w:tc>
                    <w:tc>
                      <w:tcPr>
                        <w:tcW w:w="551" w:type="dxa"/>
                        <w:gridSpan w:val="2"/>
                        <w:tcBorders>
                          <w:top w:val="nil"/>
                          <w:left w:val="nil"/>
                          <w:bottom w:val="single" w:sz="18" w:space="0" w:color="FFFFFF"/>
                          <w:right w:val="nil"/>
                        </w:tcBorders>
                        <w:shd w:val="clear" w:color="auto" w:fill="1F3864" w:themeFill="accent5" w:themeFillShade="80"/>
                      </w:tcPr>
                      <w:p w:rsidR="00C603C6" w:rsidRPr="005D3267" w:rsidP="0014663B" w14:paraId="43BC180E" w14:textId="77777777">
                        <w:pPr>
                          <w:rPr>
                            <w:rFonts w:ascii="Arial" w:eastAsia="Calibri" w:hAnsi="Arial" w:cs="Arial"/>
                            <w:sz w:val="16"/>
                            <w:szCs w:val="16"/>
                          </w:rPr>
                        </w:pPr>
                      </w:p>
                    </w:tc>
                    <w:tc>
                      <w:tcPr>
                        <w:tcW w:w="419" w:type="dxa"/>
                        <w:tcBorders>
                          <w:top w:val="nil"/>
                          <w:left w:val="nil"/>
                          <w:bottom w:val="nil"/>
                          <w:right w:val="nil"/>
                        </w:tcBorders>
                        <w:shd w:val="clear" w:color="auto" w:fill="1F3864" w:themeFill="accent5" w:themeFillShade="80"/>
                      </w:tcPr>
                      <w:p w:rsidR="00C603C6" w:rsidRPr="005D3267" w:rsidP="0014663B" w14:paraId="21F3AE86" w14:textId="77777777">
                        <w:pPr>
                          <w:rPr>
                            <w:rFonts w:ascii="Arial" w:eastAsia="Calibri" w:hAnsi="Arial" w:cs="Arial"/>
                            <w:sz w:val="16"/>
                            <w:szCs w:val="16"/>
                          </w:rPr>
                        </w:pPr>
                      </w:p>
                    </w:tc>
                    <w:tc>
                      <w:tcPr>
                        <w:tcW w:w="551" w:type="dxa"/>
                        <w:tcBorders>
                          <w:top w:val="nil"/>
                          <w:left w:val="nil"/>
                          <w:bottom w:val="single" w:sz="18" w:space="0" w:color="FFFFFF"/>
                          <w:right w:val="nil"/>
                        </w:tcBorders>
                        <w:shd w:val="clear" w:color="auto" w:fill="1F3864" w:themeFill="accent5" w:themeFillShade="80"/>
                      </w:tcPr>
                      <w:p w:rsidR="00C603C6" w:rsidRPr="005D3267" w:rsidP="0014663B" w14:paraId="1C7B1190" w14:textId="77777777">
                        <w:pPr>
                          <w:rPr>
                            <w:rFonts w:ascii="Arial" w:eastAsia="Calibri" w:hAnsi="Arial" w:cs="Arial"/>
                            <w:sz w:val="16"/>
                            <w:szCs w:val="16"/>
                          </w:rPr>
                        </w:pPr>
                      </w:p>
                    </w:tc>
                    <w:tc>
                      <w:tcPr>
                        <w:tcW w:w="419" w:type="dxa"/>
                        <w:tcBorders>
                          <w:top w:val="nil"/>
                          <w:left w:val="nil"/>
                          <w:bottom w:val="nil"/>
                          <w:right w:val="nil"/>
                        </w:tcBorders>
                        <w:shd w:val="clear" w:color="auto" w:fill="1F3864" w:themeFill="accent5" w:themeFillShade="80"/>
                      </w:tcPr>
                      <w:p w:rsidR="00C603C6" w:rsidRPr="005D3267" w:rsidP="0014663B" w14:paraId="385D94B5" w14:textId="77777777">
                        <w:pPr>
                          <w:rPr>
                            <w:rFonts w:ascii="Arial" w:eastAsia="Calibri" w:hAnsi="Arial" w:cs="Arial"/>
                            <w:sz w:val="16"/>
                            <w:szCs w:val="16"/>
                          </w:rPr>
                        </w:pPr>
                      </w:p>
                    </w:tc>
                    <w:tc>
                      <w:tcPr>
                        <w:tcW w:w="551" w:type="dxa"/>
                        <w:tcBorders>
                          <w:top w:val="nil"/>
                          <w:left w:val="nil"/>
                          <w:bottom w:val="single" w:sz="18" w:space="0" w:color="FFFFFF" w:themeColor="background1"/>
                          <w:right w:val="nil"/>
                        </w:tcBorders>
                        <w:shd w:val="clear" w:color="auto" w:fill="1F3864" w:themeFill="accent5" w:themeFillShade="80"/>
                      </w:tcPr>
                      <w:p w:rsidR="00C603C6" w:rsidRPr="005D3267" w:rsidP="0014663B" w14:paraId="791EC3F5" w14:textId="77777777">
                        <w:pPr>
                          <w:rPr>
                            <w:rFonts w:ascii="Arial" w:eastAsia="Calibri" w:hAnsi="Arial" w:cs="Arial"/>
                            <w:sz w:val="16"/>
                            <w:szCs w:val="16"/>
                          </w:rPr>
                        </w:pPr>
                      </w:p>
                    </w:tc>
                    <w:tc>
                      <w:tcPr>
                        <w:tcW w:w="419" w:type="dxa"/>
                        <w:tcBorders>
                          <w:top w:val="nil"/>
                          <w:left w:val="nil"/>
                          <w:bottom w:val="nil"/>
                          <w:right w:val="nil"/>
                        </w:tcBorders>
                        <w:shd w:val="clear" w:color="auto" w:fill="1F3864" w:themeFill="accent5" w:themeFillShade="80"/>
                      </w:tcPr>
                      <w:p w:rsidR="00C603C6" w:rsidRPr="005D3267" w:rsidP="0014663B" w14:paraId="2C5096E6" w14:textId="77777777">
                        <w:pPr>
                          <w:rPr>
                            <w:rFonts w:ascii="Arial" w:eastAsia="Calibri" w:hAnsi="Arial" w:cs="Arial"/>
                            <w:sz w:val="16"/>
                            <w:szCs w:val="16"/>
                          </w:rPr>
                        </w:pPr>
                      </w:p>
                    </w:tc>
                    <w:tc>
                      <w:tcPr>
                        <w:tcW w:w="551" w:type="dxa"/>
                        <w:tcBorders>
                          <w:top w:val="nil"/>
                          <w:left w:val="nil"/>
                          <w:bottom w:val="single" w:sz="18" w:space="0" w:color="FFFFFF"/>
                          <w:right w:val="nil"/>
                        </w:tcBorders>
                        <w:shd w:val="clear" w:color="auto" w:fill="1F3864" w:themeFill="accent5" w:themeFillShade="80"/>
                      </w:tcPr>
                      <w:p w:rsidR="00C603C6" w:rsidRPr="005D3267" w:rsidP="0014663B" w14:paraId="2AB9CA00" w14:textId="77777777">
                        <w:pPr>
                          <w:rPr>
                            <w:rFonts w:ascii="Arial" w:eastAsia="Calibri" w:hAnsi="Arial" w:cs="Arial"/>
                            <w:sz w:val="16"/>
                            <w:szCs w:val="16"/>
                          </w:rPr>
                        </w:pPr>
                      </w:p>
                    </w:tc>
                    <w:tc>
                      <w:tcPr>
                        <w:tcW w:w="419" w:type="dxa"/>
                        <w:tcBorders>
                          <w:top w:val="nil"/>
                          <w:left w:val="nil"/>
                          <w:bottom w:val="nil"/>
                          <w:right w:val="nil"/>
                        </w:tcBorders>
                        <w:shd w:val="clear" w:color="auto" w:fill="1F3864" w:themeFill="accent5" w:themeFillShade="80"/>
                      </w:tcPr>
                      <w:p w:rsidR="00C603C6" w:rsidRPr="005D3267" w:rsidP="0014663B" w14:paraId="348730AD" w14:textId="77777777">
                        <w:pPr>
                          <w:rPr>
                            <w:rFonts w:ascii="Arial" w:eastAsia="Calibri" w:hAnsi="Arial" w:cs="Arial"/>
                            <w:sz w:val="16"/>
                            <w:szCs w:val="16"/>
                          </w:rPr>
                        </w:pPr>
                      </w:p>
                    </w:tc>
                    <w:tc>
                      <w:tcPr>
                        <w:tcW w:w="551" w:type="dxa"/>
                        <w:gridSpan w:val="2"/>
                        <w:tcBorders>
                          <w:top w:val="nil"/>
                          <w:left w:val="nil"/>
                          <w:bottom w:val="single" w:sz="18" w:space="0" w:color="FFFF00"/>
                          <w:right w:val="nil"/>
                        </w:tcBorders>
                        <w:shd w:val="clear" w:color="auto" w:fill="1F3864" w:themeFill="accent5" w:themeFillShade="80"/>
                      </w:tcPr>
                      <w:p w:rsidR="00C603C6" w:rsidRPr="005D3267" w:rsidP="0014663B" w14:paraId="41632C0C" w14:textId="77777777">
                        <w:pPr>
                          <w:rPr>
                            <w:rFonts w:ascii="Arial" w:eastAsia="Calibri" w:hAnsi="Arial" w:cs="Arial"/>
                            <w:sz w:val="16"/>
                            <w:szCs w:val="16"/>
                          </w:rPr>
                        </w:pPr>
                      </w:p>
                    </w:tc>
                    <w:tc>
                      <w:tcPr>
                        <w:tcW w:w="475" w:type="dxa"/>
                        <w:tcBorders>
                          <w:top w:val="nil"/>
                          <w:left w:val="nil"/>
                          <w:bottom w:val="nil"/>
                          <w:right w:val="nil"/>
                        </w:tcBorders>
                        <w:shd w:val="clear" w:color="auto" w:fill="1F3864" w:themeFill="accent5" w:themeFillShade="80"/>
                      </w:tcPr>
                      <w:p w:rsidR="00C603C6" w:rsidRPr="005D3267" w:rsidP="0014663B" w14:paraId="149DA1FA" w14:textId="77777777">
                        <w:pPr>
                          <w:rPr>
                            <w:rFonts w:ascii="Arial" w:eastAsia="Calibri" w:hAnsi="Arial" w:cs="Arial"/>
                            <w:sz w:val="16"/>
                            <w:szCs w:val="16"/>
                          </w:rPr>
                        </w:pPr>
                      </w:p>
                    </w:tc>
                    <w:tc>
                      <w:tcPr>
                        <w:tcW w:w="551" w:type="dxa"/>
                        <w:tcBorders>
                          <w:top w:val="nil"/>
                          <w:left w:val="nil"/>
                          <w:bottom w:val="single" w:sz="18" w:space="0" w:color="FFFFFF"/>
                          <w:right w:val="nil"/>
                        </w:tcBorders>
                        <w:shd w:val="clear" w:color="auto" w:fill="1F3864" w:themeFill="accent5" w:themeFillShade="80"/>
                      </w:tcPr>
                      <w:p w:rsidR="00C603C6" w:rsidRPr="005D3267" w:rsidP="0014663B" w14:paraId="7E5BB095" w14:textId="77777777">
                        <w:pPr>
                          <w:rPr>
                            <w:rFonts w:ascii="Arial" w:eastAsia="Calibri" w:hAnsi="Arial" w:cs="Arial"/>
                            <w:sz w:val="16"/>
                            <w:szCs w:val="16"/>
                          </w:rPr>
                        </w:pPr>
                      </w:p>
                    </w:tc>
                    <w:tc>
                      <w:tcPr>
                        <w:tcW w:w="420" w:type="dxa"/>
                        <w:tcBorders>
                          <w:top w:val="nil"/>
                          <w:left w:val="nil"/>
                          <w:bottom w:val="nil"/>
                          <w:right w:val="nil"/>
                        </w:tcBorders>
                        <w:shd w:val="clear" w:color="auto" w:fill="1F3864" w:themeFill="accent5" w:themeFillShade="80"/>
                      </w:tcPr>
                      <w:p w:rsidR="00C603C6" w:rsidRPr="005D3267" w:rsidP="0014663B" w14:paraId="1E92503F" w14:textId="77777777">
                        <w:pPr>
                          <w:rPr>
                            <w:rFonts w:ascii="Arial" w:eastAsia="Calibri" w:hAnsi="Arial" w:cs="Arial"/>
                            <w:sz w:val="16"/>
                            <w:szCs w:val="16"/>
                          </w:rPr>
                        </w:pPr>
                      </w:p>
                    </w:tc>
                  </w:tr>
                  <w:tr w14:paraId="059D6171" w14:textId="77777777" w:rsidTr="00C603C6">
                    <w:tblPrEx>
                      <w:tblW w:w="0" w:type="auto"/>
                      <w:jc w:val="center"/>
                      <w:tblLook w:val="04A0"/>
                    </w:tblPrEx>
                    <w:trPr>
                      <w:jc w:val="center"/>
                    </w:trPr>
                    <w:tc>
                      <w:tcPr>
                        <w:tcW w:w="420" w:type="dxa"/>
                        <w:tcBorders>
                          <w:top w:val="nil"/>
                          <w:left w:val="nil"/>
                          <w:bottom w:val="nil"/>
                          <w:right w:val="single" w:sz="18" w:space="0" w:color="FFFFFF"/>
                        </w:tcBorders>
                        <w:shd w:val="clear" w:color="auto" w:fill="1F3864" w:themeFill="accent5" w:themeFillShade="80"/>
                      </w:tcPr>
                      <w:p w:rsidR="00C603C6" w:rsidRPr="005D3267" w:rsidP="0014663B" w14:paraId="754B78F7" w14:textId="77777777">
                        <w:pPr>
                          <w:rPr>
                            <w:rFonts w:ascii="Arial" w:eastAsia="Calibri" w:hAnsi="Arial" w:cs="Arial"/>
                            <w:b/>
                            <w:bCs/>
                            <w:color w:val="FFFFFF"/>
                            <w:sz w:val="52"/>
                            <w:szCs w:val="52"/>
                          </w:rPr>
                        </w:pPr>
                      </w:p>
                    </w:tc>
                    <w:tc>
                      <w:tcPr>
                        <w:tcW w:w="603" w:type="dxa"/>
                        <w:tcBorders>
                          <w:top w:val="single" w:sz="18" w:space="0" w:color="FFFFFF"/>
                          <w:left w:val="single" w:sz="18" w:space="0" w:color="FFFFFF"/>
                          <w:bottom w:val="single" w:sz="18" w:space="0" w:color="FFFFFF"/>
                          <w:right w:val="single" w:sz="18" w:space="0" w:color="FFFFFF"/>
                        </w:tcBorders>
                        <w:shd w:val="clear" w:color="auto" w:fill="1F3864" w:themeFill="accent5" w:themeFillShade="80"/>
                      </w:tcPr>
                      <w:p w:rsidR="00C603C6" w:rsidRPr="005D3267" w:rsidP="0014663B" w14:paraId="6B6C9D6E" w14:textId="77777777">
                        <w:pPr>
                          <w:rPr>
                            <w:rFonts w:ascii="Arial" w:eastAsia="Calibri" w:hAnsi="Arial" w:cs="Arial"/>
                            <w:b/>
                            <w:bCs/>
                            <w:color w:val="FFFFFF"/>
                            <w:sz w:val="52"/>
                            <w:szCs w:val="52"/>
                          </w:rPr>
                        </w:pPr>
                        <w:r w:rsidRPr="005D3267">
                          <w:rPr>
                            <w:rFonts w:ascii="Arial" w:eastAsia="Calibri" w:hAnsi="Arial" w:cs="Arial"/>
                            <w:b/>
                            <w:bCs/>
                            <w:color w:val="FFFFFF"/>
                            <w:sz w:val="52"/>
                            <w:szCs w:val="52"/>
                          </w:rPr>
                          <w:t>1</w:t>
                        </w:r>
                      </w:p>
                    </w:tc>
                    <w:tc>
                      <w:tcPr>
                        <w:tcW w:w="419" w:type="dxa"/>
                        <w:tcBorders>
                          <w:top w:val="nil"/>
                          <w:left w:val="single" w:sz="18" w:space="0" w:color="FFFFFF"/>
                          <w:bottom w:val="nil"/>
                          <w:right w:val="single" w:sz="18" w:space="0" w:color="FFFFFF"/>
                        </w:tcBorders>
                        <w:shd w:val="clear" w:color="auto" w:fill="1F3864" w:themeFill="accent5" w:themeFillShade="80"/>
                      </w:tcPr>
                      <w:p w:rsidR="00C603C6" w:rsidRPr="005D3267" w:rsidP="0014663B" w14:paraId="40E06EFC" w14:textId="77777777">
                        <w:pPr>
                          <w:rPr>
                            <w:rFonts w:ascii="Arial" w:eastAsia="Calibri" w:hAnsi="Arial" w:cs="Arial"/>
                            <w:b/>
                            <w:bCs/>
                            <w:color w:val="FFFFFF"/>
                            <w:sz w:val="52"/>
                            <w:szCs w:val="52"/>
                          </w:rPr>
                        </w:pPr>
                      </w:p>
                    </w:tc>
                    <w:tc>
                      <w:tcPr>
                        <w:tcW w:w="551" w:type="dxa"/>
                        <w:gridSpan w:val="2"/>
                        <w:tcBorders>
                          <w:top w:val="single" w:sz="18" w:space="0" w:color="FFFFFF"/>
                          <w:left w:val="single" w:sz="18" w:space="0" w:color="FFFFFF"/>
                          <w:bottom w:val="single" w:sz="18" w:space="0" w:color="FFFFFF"/>
                          <w:right w:val="single" w:sz="18" w:space="0" w:color="FFFFFF"/>
                        </w:tcBorders>
                        <w:shd w:val="clear" w:color="auto" w:fill="1F3864" w:themeFill="accent5" w:themeFillShade="80"/>
                      </w:tcPr>
                      <w:p w:rsidR="00C603C6" w:rsidRPr="005D3267" w:rsidP="0014663B" w14:paraId="7D0E9448" w14:textId="77777777">
                        <w:pPr>
                          <w:rPr>
                            <w:rFonts w:ascii="Arial" w:eastAsia="Calibri" w:hAnsi="Arial" w:cs="Arial"/>
                            <w:b/>
                            <w:bCs/>
                            <w:color w:val="FFFFFF"/>
                            <w:sz w:val="52"/>
                            <w:szCs w:val="52"/>
                          </w:rPr>
                        </w:pPr>
                        <w:r w:rsidRPr="005D3267">
                          <w:rPr>
                            <w:rFonts w:ascii="Arial" w:eastAsia="Calibri" w:hAnsi="Arial" w:cs="Arial"/>
                            <w:b/>
                            <w:bCs/>
                            <w:color w:val="FFFFFF"/>
                            <w:sz w:val="52"/>
                            <w:szCs w:val="52"/>
                          </w:rPr>
                          <w:t>2</w:t>
                        </w:r>
                      </w:p>
                    </w:tc>
                    <w:tc>
                      <w:tcPr>
                        <w:tcW w:w="419" w:type="dxa"/>
                        <w:tcBorders>
                          <w:top w:val="nil"/>
                          <w:left w:val="single" w:sz="18" w:space="0" w:color="FFFFFF"/>
                          <w:bottom w:val="nil"/>
                          <w:right w:val="single" w:sz="18" w:space="0" w:color="FFFFFF"/>
                        </w:tcBorders>
                        <w:shd w:val="clear" w:color="auto" w:fill="1F3864" w:themeFill="accent5" w:themeFillShade="80"/>
                      </w:tcPr>
                      <w:p w:rsidR="00C603C6" w:rsidRPr="005D3267" w:rsidP="0014663B" w14:paraId="335B8D16" w14:textId="77777777">
                        <w:pPr>
                          <w:rPr>
                            <w:rFonts w:ascii="Arial" w:eastAsia="Calibri" w:hAnsi="Arial" w:cs="Arial"/>
                            <w:b/>
                            <w:bCs/>
                            <w:color w:val="FFFFFF"/>
                            <w:sz w:val="52"/>
                            <w:szCs w:val="52"/>
                          </w:rPr>
                        </w:pPr>
                      </w:p>
                    </w:tc>
                    <w:tc>
                      <w:tcPr>
                        <w:tcW w:w="551" w:type="dxa"/>
                        <w:tcBorders>
                          <w:top w:val="single" w:sz="18" w:space="0" w:color="FFFFFF"/>
                          <w:left w:val="single" w:sz="18" w:space="0" w:color="FFFFFF"/>
                          <w:bottom w:val="single" w:sz="18" w:space="0" w:color="FFFFFF"/>
                          <w:right w:val="single" w:sz="18" w:space="0" w:color="FFFFFF"/>
                        </w:tcBorders>
                        <w:shd w:val="clear" w:color="auto" w:fill="1F3864" w:themeFill="accent5" w:themeFillShade="80"/>
                      </w:tcPr>
                      <w:p w:rsidR="00C603C6" w:rsidRPr="005D3267" w:rsidP="0014663B" w14:paraId="5A405371" w14:textId="77777777">
                        <w:pPr>
                          <w:rPr>
                            <w:rFonts w:ascii="Arial" w:eastAsia="Calibri" w:hAnsi="Arial" w:cs="Arial"/>
                            <w:b/>
                            <w:bCs/>
                            <w:color w:val="FFFFFF"/>
                            <w:sz w:val="52"/>
                            <w:szCs w:val="52"/>
                          </w:rPr>
                        </w:pPr>
                        <w:r w:rsidRPr="005D3267">
                          <w:rPr>
                            <w:rFonts w:ascii="Arial" w:eastAsia="Calibri" w:hAnsi="Arial" w:cs="Arial"/>
                            <w:b/>
                            <w:bCs/>
                            <w:color w:val="FFFFFF"/>
                            <w:sz w:val="52"/>
                            <w:szCs w:val="52"/>
                          </w:rPr>
                          <w:t>3</w:t>
                        </w:r>
                      </w:p>
                    </w:tc>
                    <w:tc>
                      <w:tcPr>
                        <w:tcW w:w="419" w:type="dxa"/>
                        <w:tcBorders>
                          <w:top w:val="nil"/>
                          <w:left w:val="single" w:sz="18" w:space="0" w:color="FFFFFF"/>
                          <w:bottom w:val="nil"/>
                          <w:right w:val="single" w:sz="18" w:space="0" w:color="FFFFFF" w:themeColor="background1"/>
                        </w:tcBorders>
                        <w:shd w:val="clear" w:color="auto" w:fill="1F3864" w:themeFill="accent5" w:themeFillShade="80"/>
                      </w:tcPr>
                      <w:p w:rsidR="00C603C6" w:rsidRPr="005D3267" w:rsidP="0014663B" w14:paraId="70CDF6B5" w14:textId="77777777">
                        <w:pPr>
                          <w:rPr>
                            <w:rFonts w:ascii="Arial" w:eastAsia="Calibri" w:hAnsi="Arial" w:cs="Arial"/>
                            <w:b/>
                            <w:bCs/>
                            <w:color w:val="FFFFFF"/>
                            <w:sz w:val="52"/>
                            <w:szCs w:val="52"/>
                          </w:rPr>
                        </w:pPr>
                      </w:p>
                    </w:tc>
                    <w:tc>
                      <w:tcPr>
                        <w:tcW w:w="5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1F3864" w:themeFill="accent5" w:themeFillShade="80"/>
                      </w:tcPr>
                      <w:p w:rsidR="00C603C6" w:rsidRPr="00D21307" w:rsidP="0014663B" w14:paraId="287E63BC" w14:textId="77777777">
                        <w:pPr>
                          <w:rPr>
                            <w:rFonts w:ascii="Arial" w:eastAsia="Calibri" w:hAnsi="Arial" w:cs="Arial"/>
                            <w:b/>
                            <w:bCs/>
                            <w:color w:val="FFFFFF"/>
                            <w:sz w:val="52"/>
                            <w:szCs w:val="52"/>
                          </w:rPr>
                        </w:pPr>
                        <w:r w:rsidRPr="00D21307">
                          <w:rPr>
                            <w:rFonts w:ascii="Arial" w:eastAsia="Calibri" w:hAnsi="Arial" w:cs="Arial"/>
                            <w:b/>
                            <w:bCs/>
                            <w:color w:val="FFFFFF"/>
                            <w:sz w:val="52"/>
                            <w:szCs w:val="52"/>
                          </w:rPr>
                          <w:t>4</w:t>
                        </w:r>
                      </w:p>
                    </w:tc>
                    <w:tc>
                      <w:tcPr>
                        <w:tcW w:w="419" w:type="dxa"/>
                        <w:tcBorders>
                          <w:top w:val="nil"/>
                          <w:left w:val="single" w:sz="18" w:space="0" w:color="FFFFFF" w:themeColor="background1"/>
                          <w:bottom w:val="nil"/>
                          <w:right w:val="single" w:sz="18" w:space="0" w:color="FFFFFF"/>
                        </w:tcBorders>
                        <w:shd w:val="clear" w:color="auto" w:fill="1F3864" w:themeFill="accent5" w:themeFillShade="80"/>
                      </w:tcPr>
                      <w:p w:rsidR="00C603C6" w:rsidRPr="00D21307" w:rsidP="0014663B" w14:paraId="13C4DF05" w14:textId="77777777">
                        <w:pPr>
                          <w:rPr>
                            <w:rFonts w:ascii="Arial" w:eastAsia="Calibri" w:hAnsi="Arial" w:cs="Arial"/>
                            <w:b/>
                            <w:bCs/>
                            <w:color w:val="FFFFFF"/>
                            <w:sz w:val="52"/>
                            <w:szCs w:val="52"/>
                          </w:rPr>
                        </w:pPr>
                      </w:p>
                    </w:tc>
                    <w:tc>
                      <w:tcPr>
                        <w:tcW w:w="551" w:type="dxa"/>
                        <w:tcBorders>
                          <w:top w:val="single" w:sz="18" w:space="0" w:color="FFFFFF"/>
                          <w:left w:val="single" w:sz="18" w:space="0" w:color="FFFFFF"/>
                          <w:bottom w:val="single" w:sz="18" w:space="0" w:color="FFFFFF"/>
                          <w:right w:val="single" w:sz="18" w:space="0" w:color="FFFFFF"/>
                        </w:tcBorders>
                        <w:shd w:val="clear" w:color="auto" w:fill="1F3864" w:themeFill="accent5" w:themeFillShade="80"/>
                      </w:tcPr>
                      <w:p w:rsidR="00C603C6" w:rsidRPr="005D3267" w:rsidP="0014663B" w14:paraId="02AC6D61" w14:textId="77777777">
                        <w:pPr>
                          <w:rPr>
                            <w:rFonts w:ascii="Arial" w:eastAsia="Calibri" w:hAnsi="Arial" w:cs="Arial"/>
                            <w:b/>
                            <w:bCs/>
                            <w:color w:val="FFFFFF"/>
                            <w:sz w:val="52"/>
                            <w:szCs w:val="52"/>
                          </w:rPr>
                        </w:pPr>
                        <w:r w:rsidRPr="005D3267">
                          <w:rPr>
                            <w:rFonts w:ascii="Arial" w:eastAsia="Calibri" w:hAnsi="Arial" w:cs="Arial"/>
                            <w:b/>
                            <w:bCs/>
                            <w:color w:val="FFFFFF"/>
                            <w:sz w:val="52"/>
                            <w:szCs w:val="52"/>
                          </w:rPr>
                          <w:t>5</w:t>
                        </w:r>
                      </w:p>
                    </w:tc>
                    <w:tc>
                      <w:tcPr>
                        <w:tcW w:w="419" w:type="dxa"/>
                        <w:tcBorders>
                          <w:top w:val="nil"/>
                          <w:left w:val="single" w:sz="18" w:space="0" w:color="FFFFFF"/>
                          <w:bottom w:val="nil"/>
                          <w:right w:val="single" w:sz="18" w:space="0" w:color="FFFF00"/>
                        </w:tcBorders>
                        <w:shd w:val="clear" w:color="auto" w:fill="1F3864" w:themeFill="accent5" w:themeFillShade="80"/>
                      </w:tcPr>
                      <w:p w:rsidR="00C603C6" w:rsidRPr="005D3267" w:rsidP="0014663B" w14:paraId="2BECDC4F" w14:textId="77777777">
                        <w:pPr>
                          <w:rPr>
                            <w:rFonts w:ascii="Arial" w:eastAsia="Calibri" w:hAnsi="Arial" w:cs="Arial"/>
                            <w:b/>
                            <w:bCs/>
                            <w:color w:val="FFFFFF"/>
                            <w:sz w:val="52"/>
                            <w:szCs w:val="52"/>
                          </w:rPr>
                        </w:pPr>
                      </w:p>
                    </w:tc>
                    <w:tc>
                      <w:tcPr>
                        <w:tcW w:w="551" w:type="dxa"/>
                        <w:gridSpan w:val="2"/>
                        <w:tcBorders>
                          <w:top w:val="single" w:sz="18" w:space="0" w:color="FFFF00"/>
                          <w:left w:val="single" w:sz="18" w:space="0" w:color="FFFF00"/>
                          <w:bottom w:val="single" w:sz="18" w:space="0" w:color="FFFF00"/>
                          <w:right w:val="single" w:sz="18" w:space="0" w:color="FFFF00"/>
                        </w:tcBorders>
                        <w:shd w:val="clear" w:color="auto" w:fill="FFC000" w:themeFill="accent4"/>
                      </w:tcPr>
                      <w:p w:rsidR="00C603C6" w:rsidRPr="00D21307" w:rsidP="0014663B" w14:paraId="38CC93C6" w14:textId="77777777">
                        <w:pPr>
                          <w:rPr>
                            <w:rFonts w:ascii="Arial" w:eastAsia="Calibri" w:hAnsi="Arial" w:cs="Arial"/>
                            <w:b/>
                            <w:bCs/>
                            <w:sz w:val="52"/>
                            <w:szCs w:val="52"/>
                          </w:rPr>
                        </w:pPr>
                        <w:r w:rsidRPr="00D21307">
                          <w:rPr>
                            <w:rFonts w:ascii="Arial" w:eastAsia="Calibri" w:hAnsi="Arial" w:cs="Arial"/>
                            <w:b/>
                            <w:bCs/>
                            <w:sz w:val="52"/>
                            <w:szCs w:val="52"/>
                          </w:rPr>
                          <w:t>6</w:t>
                        </w:r>
                      </w:p>
                    </w:tc>
                    <w:tc>
                      <w:tcPr>
                        <w:tcW w:w="475" w:type="dxa"/>
                        <w:tcBorders>
                          <w:top w:val="nil"/>
                          <w:left w:val="single" w:sz="18" w:space="0" w:color="FFFF00"/>
                          <w:bottom w:val="nil"/>
                          <w:right w:val="single" w:sz="18" w:space="0" w:color="FFFFFF"/>
                        </w:tcBorders>
                        <w:shd w:val="clear" w:color="auto" w:fill="1F3864" w:themeFill="accent5" w:themeFillShade="80"/>
                      </w:tcPr>
                      <w:p w:rsidR="00C603C6" w:rsidRPr="00D21307" w:rsidP="0014663B" w14:paraId="1B4DF1F1" w14:textId="77777777">
                        <w:pPr>
                          <w:rPr>
                            <w:rFonts w:ascii="Arial" w:eastAsia="Calibri" w:hAnsi="Arial" w:cs="Arial"/>
                            <w:b/>
                            <w:bCs/>
                            <w:color w:val="FFFFFF" w:themeColor="background1"/>
                            <w:sz w:val="52"/>
                            <w:szCs w:val="52"/>
                          </w:rPr>
                        </w:pPr>
                      </w:p>
                    </w:tc>
                    <w:tc>
                      <w:tcPr>
                        <w:tcW w:w="551" w:type="dxa"/>
                        <w:tcBorders>
                          <w:top w:val="single" w:sz="18" w:space="0" w:color="FFFFFF"/>
                          <w:left w:val="single" w:sz="18" w:space="0" w:color="FFFFFF"/>
                          <w:bottom w:val="single" w:sz="18" w:space="0" w:color="FFFFFF"/>
                          <w:right w:val="single" w:sz="18" w:space="0" w:color="FFFFFF"/>
                        </w:tcBorders>
                        <w:shd w:val="clear" w:color="auto" w:fill="1F3864" w:themeFill="accent5" w:themeFillShade="80"/>
                      </w:tcPr>
                      <w:p w:rsidR="00C603C6" w:rsidRPr="005D3267" w:rsidP="0014663B" w14:paraId="18476A51" w14:textId="77777777">
                        <w:pPr>
                          <w:rPr>
                            <w:rFonts w:ascii="Arial" w:eastAsia="Calibri" w:hAnsi="Arial" w:cs="Arial"/>
                            <w:b/>
                            <w:bCs/>
                            <w:color w:val="FFFFFF"/>
                            <w:sz w:val="52"/>
                            <w:szCs w:val="52"/>
                          </w:rPr>
                        </w:pPr>
                        <w:r w:rsidRPr="005D3267">
                          <w:rPr>
                            <w:rFonts w:ascii="Arial" w:eastAsia="Calibri" w:hAnsi="Arial" w:cs="Arial"/>
                            <w:b/>
                            <w:bCs/>
                            <w:color w:val="FFFFFF"/>
                            <w:sz w:val="52"/>
                            <w:szCs w:val="52"/>
                          </w:rPr>
                          <w:t>7</w:t>
                        </w:r>
                      </w:p>
                    </w:tc>
                    <w:tc>
                      <w:tcPr>
                        <w:tcW w:w="420" w:type="dxa"/>
                        <w:tcBorders>
                          <w:top w:val="nil"/>
                          <w:left w:val="single" w:sz="18" w:space="0" w:color="FFFFFF"/>
                          <w:bottom w:val="nil"/>
                          <w:right w:val="nil"/>
                        </w:tcBorders>
                        <w:shd w:val="clear" w:color="auto" w:fill="1F3864" w:themeFill="accent5" w:themeFillShade="80"/>
                      </w:tcPr>
                      <w:p w:rsidR="00C603C6" w:rsidRPr="005D3267" w:rsidP="0014663B" w14:paraId="06C66F02" w14:textId="77777777">
                        <w:pPr>
                          <w:rPr>
                            <w:rFonts w:ascii="Arial" w:eastAsia="Calibri" w:hAnsi="Arial" w:cs="Arial"/>
                            <w:b/>
                            <w:bCs/>
                            <w:color w:val="FFFFFF"/>
                            <w:sz w:val="52"/>
                            <w:szCs w:val="52"/>
                          </w:rPr>
                        </w:pPr>
                      </w:p>
                    </w:tc>
                  </w:tr>
                  <w:tr w14:paraId="27986C44" w14:textId="77777777" w:rsidTr="00C603C6">
                    <w:tblPrEx>
                      <w:tblW w:w="0" w:type="auto"/>
                      <w:jc w:val="center"/>
                      <w:tblLook w:val="04A0"/>
                    </w:tblPrEx>
                    <w:trPr>
                      <w:jc w:val="center"/>
                    </w:trPr>
                    <w:tc>
                      <w:tcPr>
                        <w:tcW w:w="420" w:type="dxa"/>
                        <w:tcBorders>
                          <w:top w:val="nil"/>
                          <w:left w:val="nil"/>
                          <w:bottom w:val="nil"/>
                          <w:right w:val="nil"/>
                        </w:tcBorders>
                        <w:shd w:val="clear" w:color="auto" w:fill="1F3864" w:themeFill="accent5" w:themeFillShade="80"/>
                      </w:tcPr>
                      <w:p w:rsidR="00C603C6" w:rsidRPr="005D3267" w:rsidP="0014663B" w14:paraId="01AFEAFF" w14:textId="77777777">
                        <w:pPr>
                          <w:rPr>
                            <w:rFonts w:ascii="Arial" w:eastAsia="Calibri" w:hAnsi="Arial" w:cs="Arial"/>
                            <w:sz w:val="16"/>
                            <w:szCs w:val="16"/>
                          </w:rPr>
                        </w:pPr>
                      </w:p>
                    </w:tc>
                    <w:tc>
                      <w:tcPr>
                        <w:tcW w:w="603" w:type="dxa"/>
                        <w:tcBorders>
                          <w:top w:val="single" w:sz="18" w:space="0" w:color="FFFFFF"/>
                          <w:left w:val="nil"/>
                          <w:bottom w:val="nil"/>
                          <w:right w:val="nil"/>
                        </w:tcBorders>
                        <w:shd w:val="clear" w:color="auto" w:fill="1F3864" w:themeFill="accent5" w:themeFillShade="80"/>
                      </w:tcPr>
                      <w:p w:rsidR="00C603C6" w:rsidRPr="005D3267" w:rsidP="0014663B" w14:paraId="54D6DBED" w14:textId="77777777">
                        <w:pPr>
                          <w:rPr>
                            <w:rFonts w:ascii="Arial" w:eastAsia="Calibri" w:hAnsi="Arial" w:cs="Arial"/>
                            <w:sz w:val="16"/>
                            <w:szCs w:val="16"/>
                          </w:rPr>
                        </w:pPr>
                      </w:p>
                    </w:tc>
                    <w:tc>
                      <w:tcPr>
                        <w:tcW w:w="419" w:type="dxa"/>
                        <w:tcBorders>
                          <w:top w:val="nil"/>
                          <w:left w:val="nil"/>
                          <w:bottom w:val="nil"/>
                          <w:right w:val="nil"/>
                        </w:tcBorders>
                        <w:shd w:val="clear" w:color="auto" w:fill="1F3864" w:themeFill="accent5" w:themeFillShade="80"/>
                      </w:tcPr>
                      <w:p w:rsidR="00C603C6" w:rsidRPr="005D3267" w:rsidP="0014663B" w14:paraId="51C00225" w14:textId="77777777">
                        <w:pPr>
                          <w:rPr>
                            <w:rFonts w:ascii="Arial" w:eastAsia="Calibri" w:hAnsi="Arial" w:cs="Arial"/>
                            <w:sz w:val="16"/>
                            <w:szCs w:val="16"/>
                          </w:rPr>
                        </w:pPr>
                      </w:p>
                    </w:tc>
                    <w:tc>
                      <w:tcPr>
                        <w:tcW w:w="551" w:type="dxa"/>
                        <w:gridSpan w:val="2"/>
                        <w:tcBorders>
                          <w:top w:val="single" w:sz="18" w:space="0" w:color="FFFFFF"/>
                          <w:left w:val="nil"/>
                          <w:bottom w:val="nil"/>
                          <w:right w:val="nil"/>
                        </w:tcBorders>
                        <w:shd w:val="clear" w:color="auto" w:fill="1F3864" w:themeFill="accent5" w:themeFillShade="80"/>
                      </w:tcPr>
                      <w:p w:rsidR="00C603C6" w:rsidRPr="005D3267" w:rsidP="0014663B" w14:paraId="4E1F1743" w14:textId="77777777">
                        <w:pPr>
                          <w:rPr>
                            <w:rFonts w:ascii="Arial" w:eastAsia="Calibri" w:hAnsi="Arial" w:cs="Arial"/>
                            <w:sz w:val="16"/>
                            <w:szCs w:val="16"/>
                          </w:rPr>
                        </w:pPr>
                      </w:p>
                    </w:tc>
                    <w:tc>
                      <w:tcPr>
                        <w:tcW w:w="419" w:type="dxa"/>
                        <w:tcBorders>
                          <w:top w:val="nil"/>
                          <w:left w:val="nil"/>
                          <w:bottom w:val="nil"/>
                          <w:right w:val="nil"/>
                        </w:tcBorders>
                        <w:shd w:val="clear" w:color="auto" w:fill="1F3864" w:themeFill="accent5" w:themeFillShade="80"/>
                      </w:tcPr>
                      <w:p w:rsidR="00C603C6" w:rsidRPr="005D3267" w:rsidP="0014663B" w14:paraId="19CC4CAB" w14:textId="77777777">
                        <w:pPr>
                          <w:rPr>
                            <w:rFonts w:ascii="Arial" w:eastAsia="Calibri" w:hAnsi="Arial" w:cs="Arial"/>
                            <w:sz w:val="16"/>
                            <w:szCs w:val="16"/>
                          </w:rPr>
                        </w:pPr>
                      </w:p>
                    </w:tc>
                    <w:tc>
                      <w:tcPr>
                        <w:tcW w:w="551" w:type="dxa"/>
                        <w:tcBorders>
                          <w:top w:val="single" w:sz="18" w:space="0" w:color="FFFFFF"/>
                          <w:left w:val="nil"/>
                          <w:bottom w:val="nil"/>
                          <w:right w:val="nil"/>
                        </w:tcBorders>
                        <w:shd w:val="clear" w:color="auto" w:fill="1F3864" w:themeFill="accent5" w:themeFillShade="80"/>
                      </w:tcPr>
                      <w:p w:rsidR="00C603C6" w:rsidRPr="005D3267" w:rsidP="0014663B" w14:paraId="4DA6021B" w14:textId="77777777">
                        <w:pPr>
                          <w:rPr>
                            <w:rFonts w:ascii="Arial" w:eastAsia="Calibri" w:hAnsi="Arial" w:cs="Arial"/>
                            <w:sz w:val="16"/>
                            <w:szCs w:val="16"/>
                          </w:rPr>
                        </w:pPr>
                      </w:p>
                    </w:tc>
                    <w:tc>
                      <w:tcPr>
                        <w:tcW w:w="419" w:type="dxa"/>
                        <w:tcBorders>
                          <w:top w:val="nil"/>
                          <w:left w:val="nil"/>
                          <w:bottom w:val="nil"/>
                          <w:right w:val="nil"/>
                        </w:tcBorders>
                        <w:shd w:val="clear" w:color="auto" w:fill="1F3864" w:themeFill="accent5" w:themeFillShade="80"/>
                      </w:tcPr>
                      <w:p w:rsidR="00C603C6" w:rsidRPr="005D3267" w:rsidP="0014663B" w14:paraId="74AB924F" w14:textId="77777777">
                        <w:pPr>
                          <w:rPr>
                            <w:rFonts w:ascii="Arial" w:eastAsia="Calibri" w:hAnsi="Arial" w:cs="Arial"/>
                            <w:sz w:val="16"/>
                            <w:szCs w:val="16"/>
                          </w:rPr>
                        </w:pPr>
                      </w:p>
                    </w:tc>
                    <w:tc>
                      <w:tcPr>
                        <w:tcW w:w="551" w:type="dxa"/>
                        <w:tcBorders>
                          <w:top w:val="single" w:sz="18" w:space="0" w:color="FFFFFF" w:themeColor="background1"/>
                          <w:left w:val="nil"/>
                          <w:bottom w:val="nil"/>
                          <w:right w:val="nil"/>
                        </w:tcBorders>
                        <w:shd w:val="clear" w:color="auto" w:fill="1F3864" w:themeFill="accent5" w:themeFillShade="80"/>
                      </w:tcPr>
                      <w:p w:rsidR="00C603C6" w:rsidRPr="005D3267" w:rsidP="0014663B" w14:paraId="7518CBFE" w14:textId="77777777">
                        <w:pPr>
                          <w:rPr>
                            <w:rFonts w:ascii="Arial" w:eastAsia="Calibri" w:hAnsi="Arial" w:cs="Arial"/>
                            <w:sz w:val="16"/>
                            <w:szCs w:val="16"/>
                          </w:rPr>
                        </w:pPr>
                      </w:p>
                    </w:tc>
                    <w:tc>
                      <w:tcPr>
                        <w:tcW w:w="419" w:type="dxa"/>
                        <w:tcBorders>
                          <w:top w:val="nil"/>
                          <w:left w:val="nil"/>
                          <w:bottom w:val="nil"/>
                          <w:right w:val="nil"/>
                        </w:tcBorders>
                        <w:shd w:val="clear" w:color="auto" w:fill="1F3864" w:themeFill="accent5" w:themeFillShade="80"/>
                      </w:tcPr>
                      <w:p w:rsidR="00C603C6" w:rsidRPr="005D3267" w:rsidP="0014663B" w14:paraId="5356D3AC" w14:textId="77777777">
                        <w:pPr>
                          <w:rPr>
                            <w:rFonts w:ascii="Arial" w:eastAsia="Calibri" w:hAnsi="Arial" w:cs="Arial"/>
                            <w:sz w:val="16"/>
                            <w:szCs w:val="16"/>
                          </w:rPr>
                        </w:pPr>
                      </w:p>
                    </w:tc>
                    <w:tc>
                      <w:tcPr>
                        <w:tcW w:w="551" w:type="dxa"/>
                        <w:tcBorders>
                          <w:top w:val="single" w:sz="18" w:space="0" w:color="FFFFFF"/>
                          <w:left w:val="nil"/>
                          <w:bottom w:val="nil"/>
                          <w:right w:val="nil"/>
                        </w:tcBorders>
                        <w:shd w:val="clear" w:color="auto" w:fill="1F3864" w:themeFill="accent5" w:themeFillShade="80"/>
                      </w:tcPr>
                      <w:p w:rsidR="00C603C6" w:rsidRPr="005D3267" w:rsidP="0014663B" w14:paraId="450345D3" w14:textId="77777777">
                        <w:pPr>
                          <w:rPr>
                            <w:rFonts w:ascii="Arial" w:eastAsia="Calibri" w:hAnsi="Arial" w:cs="Arial"/>
                            <w:sz w:val="16"/>
                            <w:szCs w:val="16"/>
                          </w:rPr>
                        </w:pPr>
                      </w:p>
                    </w:tc>
                    <w:tc>
                      <w:tcPr>
                        <w:tcW w:w="419" w:type="dxa"/>
                        <w:tcBorders>
                          <w:top w:val="nil"/>
                          <w:left w:val="nil"/>
                          <w:bottom w:val="nil"/>
                          <w:right w:val="nil"/>
                        </w:tcBorders>
                        <w:shd w:val="clear" w:color="auto" w:fill="1F3864" w:themeFill="accent5" w:themeFillShade="80"/>
                      </w:tcPr>
                      <w:p w:rsidR="00C603C6" w:rsidRPr="005D3267" w:rsidP="0014663B" w14:paraId="299A8F6A" w14:textId="77777777">
                        <w:pPr>
                          <w:rPr>
                            <w:rFonts w:ascii="Arial" w:eastAsia="Calibri" w:hAnsi="Arial" w:cs="Arial"/>
                            <w:sz w:val="16"/>
                            <w:szCs w:val="16"/>
                          </w:rPr>
                        </w:pPr>
                      </w:p>
                    </w:tc>
                    <w:tc>
                      <w:tcPr>
                        <w:tcW w:w="551" w:type="dxa"/>
                        <w:gridSpan w:val="2"/>
                        <w:tcBorders>
                          <w:top w:val="single" w:sz="18" w:space="0" w:color="FFFF00"/>
                          <w:left w:val="nil"/>
                          <w:bottom w:val="nil"/>
                          <w:right w:val="nil"/>
                        </w:tcBorders>
                        <w:shd w:val="clear" w:color="auto" w:fill="1F3864" w:themeFill="accent5" w:themeFillShade="80"/>
                      </w:tcPr>
                      <w:p w:rsidR="00C603C6" w:rsidRPr="005D3267" w:rsidP="0014663B" w14:paraId="297C8E3B" w14:textId="77777777">
                        <w:pPr>
                          <w:rPr>
                            <w:rFonts w:ascii="Arial" w:eastAsia="Calibri" w:hAnsi="Arial" w:cs="Arial"/>
                            <w:sz w:val="16"/>
                            <w:szCs w:val="16"/>
                          </w:rPr>
                        </w:pPr>
                      </w:p>
                    </w:tc>
                    <w:tc>
                      <w:tcPr>
                        <w:tcW w:w="475" w:type="dxa"/>
                        <w:tcBorders>
                          <w:top w:val="nil"/>
                          <w:left w:val="nil"/>
                          <w:bottom w:val="nil"/>
                          <w:right w:val="nil"/>
                        </w:tcBorders>
                        <w:shd w:val="clear" w:color="auto" w:fill="1F3864" w:themeFill="accent5" w:themeFillShade="80"/>
                      </w:tcPr>
                      <w:p w:rsidR="00C603C6" w:rsidRPr="005D3267" w:rsidP="0014663B" w14:paraId="2A69342B" w14:textId="77777777">
                        <w:pPr>
                          <w:rPr>
                            <w:rFonts w:ascii="Arial" w:eastAsia="Calibri" w:hAnsi="Arial" w:cs="Arial"/>
                            <w:sz w:val="16"/>
                            <w:szCs w:val="16"/>
                          </w:rPr>
                        </w:pPr>
                      </w:p>
                    </w:tc>
                    <w:tc>
                      <w:tcPr>
                        <w:tcW w:w="551" w:type="dxa"/>
                        <w:tcBorders>
                          <w:top w:val="single" w:sz="18" w:space="0" w:color="FFFFFF"/>
                          <w:left w:val="nil"/>
                          <w:bottom w:val="nil"/>
                          <w:right w:val="nil"/>
                        </w:tcBorders>
                        <w:shd w:val="clear" w:color="auto" w:fill="1F3864" w:themeFill="accent5" w:themeFillShade="80"/>
                      </w:tcPr>
                      <w:p w:rsidR="00C603C6" w:rsidRPr="005D3267" w:rsidP="0014663B" w14:paraId="21031B15" w14:textId="77777777">
                        <w:pPr>
                          <w:rPr>
                            <w:rFonts w:ascii="Arial" w:eastAsia="Calibri" w:hAnsi="Arial" w:cs="Arial"/>
                            <w:sz w:val="16"/>
                            <w:szCs w:val="16"/>
                          </w:rPr>
                        </w:pPr>
                      </w:p>
                    </w:tc>
                    <w:tc>
                      <w:tcPr>
                        <w:tcW w:w="420" w:type="dxa"/>
                        <w:tcBorders>
                          <w:top w:val="nil"/>
                          <w:left w:val="nil"/>
                          <w:bottom w:val="nil"/>
                          <w:right w:val="nil"/>
                        </w:tcBorders>
                        <w:shd w:val="clear" w:color="auto" w:fill="1F3864" w:themeFill="accent5" w:themeFillShade="80"/>
                      </w:tcPr>
                      <w:p w:rsidR="00C603C6" w:rsidRPr="005D3267" w:rsidP="0014663B" w14:paraId="0F32B6B8" w14:textId="77777777">
                        <w:pPr>
                          <w:rPr>
                            <w:rFonts w:ascii="Arial" w:eastAsia="Calibri" w:hAnsi="Arial" w:cs="Arial"/>
                            <w:sz w:val="16"/>
                            <w:szCs w:val="16"/>
                          </w:rPr>
                        </w:pPr>
                      </w:p>
                    </w:tc>
                  </w:tr>
                  <w:tr w14:paraId="65F460C1" w14:textId="77777777" w:rsidTr="00C603C6">
                    <w:tblPrEx>
                      <w:tblW w:w="0" w:type="auto"/>
                      <w:jc w:val="center"/>
                      <w:tblLook w:val="04A0"/>
                    </w:tblPrEx>
                    <w:trPr>
                      <w:jc w:val="center"/>
                    </w:trPr>
                    <w:tc>
                      <w:tcPr>
                        <w:tcW w:w="420" w:type="dxa"/>
                        <w:tcBorders>
                          <w:top w:val="nil"/>
                          <w:left w:val="nil"/>
                          <w:bottom w:val="nil"/>
                          <w:right w:val="nil"/>
                        </w:tcBorders>
                        <w:shd w:val="clear" w:color="auto" w:fill="1F3864" w:themeFill="accent5" w:themeFillShade="80"/>
                      </w:tcPr>
                      <w:p w:rsidR="00C603C6" w:rsidRPr="005D3267" w:rsidP="0014663B" w14:paraId="1D7E21C1" w14:textId="77777777">
                        <w:pPr>
                          <w:rPr>
                            <w:rFonts w:ascii="Arial" w:eastAsia="Calibri" w:hAnsi="Arial" w:cs="Arial"/>
                            <w:sz w:val="16"/>
                            <w:szCs w:val="16"/>
                          </w:rPr>
                        </w:pPr>
                      </w:p>
                    </w:tc>
                    <w:tc>
                      <w:tcPr>
                        <w:tcW w:w="6479" w:type="dxa"/>
                        <w:gridSpan w:val="15"/>
                        <w:tcBorders>
                          <w:top w:val="nil"/>
                          <w:left w:val="nil"/>
                          <w:bottom w:val="nil"/>
                          <w:right w:val="nil"/>
                        </w:tcBorders>
                        <w:shd w:val="clear" w:color="auto" w:fill="1F3864" w:themeFill="accent5" w:themeFillShade="80"/>
                      </w:tcPr>
                      <w:p w:rsidR="00C603C6" w:rsidRPr="005D3267" w:rsidP="0014663B" w14:paraId="0AE1B3AC" w14:textId="57290B04">
                        <w:pPr>
                          <w:rPr>
                            <w:rFonts w:ascii="Arial" w:eastAsia="Calibri" w:hAnsi="Arial" w:cs="Arial"/>
                            <w:b/>
                            <w:bCs/>
                            <w:sz w:val="16"/>
                            <w:szCs w:val="16"/>
                          </w:rPr>
                        </w:pPr>
                        <w:r w:rsidRPr="005D3267">
                          <w:rPr>
                            <w:rFonts w:ascii="Arial" w:eastAsia="Calibri" w:hAnsi="Arial" w:cs="Arial"/>
                            <w:b/>
                            <w:bCs/>
                            <w:color w:val="FFFFFF"/>
                            <w:sz w:val="16"/>
                            <w:szCs w:val="16"/>
                          </w:rPr>
                          <w:t>&lt;------------------------------------------------------------------------------------------------------------------&gt;</w:t>
                        </w:r>
                      </w:p>
                    </w:tc>
                    <w:tc>
                      <w:tcPr>
                        <w:tcW w:w="420" w:type="dxa"/>
                        <w:tcBorders>
                          <w:top w:val="nil"/>
                          <w:left w:val="nil"/>
                          <w:bottom w:val="nil"/>
                          <w:right w:val="nil"/>
                        </w:tcBorders>
                        <w:shd w:val="clear" w:color="auto" w:fill="1F3864" w:themeFill="accent5" w:themeFillShade="80"/>
                      </w:tcPr>
                      <w:p w:rsidR="00C603C6" w:rsidRPr="005D3267" w:rsidP="0014663B" w14:paraId="0FB676B3" w14:textId="77777777">
                        <w:pPr>
                          <w:rPr>
                            <w:rFonts w:ascii="Arial" w:eastAsia="Calibri" w:hAnsi="Arial" w:cs="Arial"/>
                            <w:sz w:val="16"/>
                            <w:szCs w:val="16"/>
                          </w:rPr>
                        </w:pPr>
                      </w:p>
                    </w:tc>
                  </w:tr>
                  <w:tr w14:paraId="0E1B0645" w14:textId="77777777" w:rsidTr="00C603C6">
                    <w:tblPrEx>
                      <w:tblW w:w="0" w:type="auto"/>
                      <w:jc w:val="center"/>
                      <w:tblLook w:val="04A0"/>
                    </w:tblPrEx>
                    <w:trPr>
                      <w:jc w:val="center"/>
                    </w:trPr>
                    <w:tc>
                      <w:tcPr>
                        <w:tcW w:w="420" w:type="dxa"/>
                        <w:tcBorders>
                          <w:top w:val="nil"/>
                          <w:left w:val="nil"/>
                          <w:bottom w:val="nil"/>
                          <w:right w:val="nil"/>
                        </w:tcBorders>
                        <w:shd w:val="clear" w:color="auto" w:fill="1F3864" w:themeFill="accent5" w:themeFillShade="80"/>
                      </w:tcPr>
                      <w:p w:rsidR="00C603C6" w:rsidRPr="005D3267" w:rsidP="0014663B" w14:paraId="6B30C100" w14:textId="77777777">
                        <w:pPr>
                          <w:rPr>
                            <w:rFonts w:ascii="Arial" w:eastAsia="Calibri" w:hAnsi="Arial" w:cs="Arial"/>
                            <w:b/>
                            <w:bCs/>
                            <w:color w:val="FFFFFF"/>
                            <w:sz w:val="16"/>
                            <w:szCs w:val="16"/>
                          </w:rPr>
                        </w:pPr>
                      </w:p>
                    </w:tc>
                    <w:tc>
                      <w:tcPr>
                        <w:tcW w:w="1162" w:type="dxa"/>
                        <w:gridSpan w:val="3"/>
                        <w:tcBorders>
                          <w:top w:val="nil"/>
                          <w:left w:val="nil"/>
                          <w:bottom w:val="nil"/>
                          <w:right w:val="nil"/>
                        </w:tcBorders>
                        <w:shd w:val="clear" w:color="auto" w:fill="1F3864" w:themeFill="accent5" w:themeFillShade="80"/>
                      </w:tcPr>
                      <w:p w:rsidR="00C603C6" w:rsidRPr="005D3267" w:rsidP="0014663B" w14:paraId="486904A0" w14:textId="60952506">
                        <w:pPr>
                          <w:rPr>
                            <w:rFonts w:ascii="Arial" w:eastAsia="Calibri" w:hAnsi="Arial" w:cs="Arial"/>
                            <w:b/>
                            <w:bCs/>
                            <w:color w:val="FFFFFF"/>
                            <w:sz w:val="16"/>
                            <w:szCs w:val="16"/>
                          </w:rPr>
                        </w:pPr>
                        <w:r w:rsidRPr="005D3267">
                          <w:rPr>
                            <w:rFonts w:ascii="Arial" w:eastAsia="Calibri" w:hAnsi="Arial" w:cs="Arial"/>
                            <w:b/>
                            <w:bCs/>
                            <w:color w:val="FFFFFF"/>
                            <w:sz w:val="16"/>
                            <w:szCs w:val="16"/>
                          </w:rPr>
                          <w:t xml:space="preserve">Laag </w:t>
                        </w:r>
                        <w:r>
                          <w:rPr>
                            <w:rFonts w:ascii="Arial" w:eastAsia="Calibri" w:hAnsi="Arial" w:cs="Arial"/>
                            <w:b/>
                            <w:bCs/>
                            <w:color w:val="FFFFFF"/>
                            <w:sz w:val="16"/>
                            <w:szCs w:val="16"/>
                          </w:rPr>
                          <w:t>r</w:t>
                        </w:r>
                        <w:r w:rsidRPr="005D3267">
                          <w:rPr>
                            <w:rFonts w:ascii="Arial" w:eastAsia="Calibri" w:hAnsi="Arial" w:cs="Arial"/>
                            <w:b/>
                            <w:bCs/>
                            <w:color w:val="FFFFFF"/>
                            <w:sz w:val="16"/>
                            <w:szCs w:val="16"/>
                          </w:rPr>
                          <w:t>isico</w:t>
                        </w:r>
                      </w:p>
                    </w:tc>
                    <w:tc>
                      <w:tcPr>
                        <w:tcW w:w="411" w:type="dxa"/>
                        <w:tcBorders>
                          <w:top w:val="nil"/>
                          <w:left w:val="nil"/>
                          <w:bottom w:val="nil"/>
                          <w:right w:val="nil"/>
                        </w:tcBorders>
                        <w:shd w:val="clear" w:color="auto" w:fill="1F3864" w:themeFill="accent5" w:themeFillShade="80"/>
                      </w:tcPr>
                      <w:p w:rsidR="00C603C6" w:rsidRPr="005D3267" w:rsidP="0014663B" w14:paraId="7FE3500D" w14:textId="77777777">
                        <w:pPr>
                          <w:rPr>
                            <w:rFonts w:ascii="Arial" w:eastAsia="Calibri" w:hAnsi="Arial" w:cs="Arial"/>
                            <w:b/>
                            <w:bCs/>
                            <w:color w:val="FFFFFF"/>
                            <w:sz w:val="16"/>
                            <w:szCs w:val="16"/>
                          </w:rPr>
                        </w:pPr>
                      </w:p>
                    </w:tc>
                    <w:tc>
                      <w:tcPr>
                        <w:tcW w:w="419" w:type="dxa"/>
                        <w:tcBorders>
                          <w:top w:val="nil"/>
                          <w:left w:val="nil"/>
                          <w:bottom w:val="nil"/>
                          <w:right w:val="nil"/>
                        </w:tcBorders>
                        <w:shd w:val="clear" w:color="auto" w:fill="1F3864" w:themeFill="accent5" w:themeFillShade="80"/>
                      </w:tcPr>
                      <w:p w:rsidR="00C603C6" w:rsidRPr="005D3267" w:rsidP="0014663B" w14:paraId="4E83126F" w14:textId="77777777">
                        <w:pPr>
                          <w:rPr>
                            <w:rFonts w:ascii="Arial" w:eastAsia="Calibri" w:hAnsi="Arial" w:cs="Arial"/>
                            <w:b/>
                            <w:bCs/>
                            <w:color w:val="FFFFFF"/>
                            <w:sz w:val="16"/>
                            <w:szCs w:val="16"/>
                          </w:rPr>
                        </w:pPr>
                      </w:p>
                    </w:tc>
                    <w:tc>
                      <w:tcPr>
                        <w:tcW w:w="551" w:type="dxa"/>
                        <w:tcBorders>
                          <w:top w:val="nil"/>
                          <w:left w:val="nil"/>
                          <w:bottom w:val="nil"/>
                          <w:right w:val="nil"/>
                        </w:tcBorders>
                        <w:shd w:val="clear" w:color="auto" w:fill="1F3864" w:themeFill="accent5" w:themeFillShade="80"/>
                      </w:tcPr>
                      <w:p w:rsidR="00C603C6" w:rsidRPr="005D3267" w:rsidP="0014663B" w14:paraId="15671527" w14:textId="77777777">
                        <w:pPr>
                          <w:rPr>
                            <w:rFonts w:ascii="Arial" w:eastAsia="Calibri" w:hAnsi="Arial" w:cs="Arial"/>
                            <w:b/>
                            <w:bCs/>
                            <w:color w:val="FFFFFF"/>
                            <w:sz w:val="16"/>
                            <w:szCs w:val="16"/>
                          </w:rPr>
                        </w:pPr>
                      </w:p>
                    </w:tc>
                    <w:tc>
                      <w:tcPr>
                        <w:tcW w:w="419" w:type="dxa"/>
                        <w:tcBorders>
                          <w:top w:val="nil"/>
                          <w:left w:val="nil"/>
                          <w:bottom w:val="nil"/>
                          <w:right w:val="nil"/>
                        </w:tcBorders>
                        <w:shd w:val="clear" w:color="auto" w:fill="1F3864" w:themeFill="accent5" w:themeFillShade="80"/>
                      </w:tcPr>
                      <w:p w:rsidR="00C603C6" w:rsidRPr="005D3267" w:rsidP="0014663B" w14:paraId="2EA33111" w14:textId="77777777">
                        <w:pPr>
                          <w:rPr>
                            <w:rFonts w:ascii="Arial" w:eastAsia="Calibri" w:hAnsi="Arial" w:cs="Arial"/>
                            <w:b/>
                            <w:bCs/>
                            <w:color w:val="FFFFFF"/>
                            <w:sz w:val="16"/>
                            <w:szCs w:val="16"/>
                          </w:rPr>
                        </w:pPr>
                      </w:p>
                    </w:tc>
                    <w:tc>
                      <w:tcPr>
                        <w:tcW w:w="551" w:type="dxa"/>
                        <w:tcBorders>
                          <w:top w:val="nil"/>
                          <w:left w:val="nil"/>
                          <w:bottom w:val="nil"/>
                          <w:right w:val="nil"/>
                        </w:tcBorders>
                        <w:shd w:val="clear" w:color="auto" w:fill="1F3864" w:themeFill="accent5" w:themeFillShade="80"/>
                      </w:tcPr>
                      <w:p w:rsidR="00C603C6" w:rsidRPr="005D3267" w:rsidP="0014663B" w14:paraId="459E1FFC" w14:textId="77777777">
                        <w:pPr>
                          <w:rPr>
                            <w:rFonts w:ascii="Arial" w:eastAsia="Calibri" w:hAnsi="Arial" w:cs="Arial"/>
                            <w:b/>
                            <w:bCs/>
                            <w:color w:val="FFFFFF"/>
                            <w:sz w:val="16"/>
                            <w:szCs w:val="16"/>
                          </w:rPr>
                        </w:pPr>
                      </w:p>
                    </w:tc>
                    <w:tc>
                      <w:tcPr>
                        <w:tcW w:w="419" w:type="dxa"/>
                        <w:tcBorders>
                          <w:top w:val="nil"/>
                          <w:left w:val="nil"/>
                          <w:bottom w:val="nil"/>
                          <w:right w:val="nil"/>
                        </w:tcBorders>
                        <w:shd w:val="clear" w:color="auto" w:fill="1F3864" w:themeFill="accent5" w:themeFillShade="80"/>
                      </w:tcPr>
                      <w:p w:rsidR="00C603C6" w:rsidRPr="005D3267" w:rsidP="0014663B" w14:paraId="5E3DD2F9" w14:textId="77777777">
                        <w:pPr>
                          <w:rPr>
                            <w:rFonts w:ascii="Arial" w:eastAsia="Calibri" w:hAnsi="Arial" w:cs="Arial"/>
                            <w:b/>
                            <w:bCs/>
                            <w:color w:val="FFFFFF"/>
                            <w:sz w:val="16"/>
                            <w:szCs w:val="16"/>
                          </w:rPr>
                        </w:pPr>
                      </w:p>
                    </w:tc>
                    <w:tc>
                      <w:tcPr>
                        <w:tcW w:w="551" w:type="dxa"/>
                        <w:tcBorders>
                          <w:top w:val="nil"/>
                          <w:left w:val="nil"/>
                          <w:bottom w:val="nil"/>
                          <w:right w:val="nil"/>
                        </w:tcBorders>
                        <w:shd w:val="clear" w:color="auto" w:fill="1F3864" w:themeFill="accent5" w:themeFillShade="80"/>
                      </w:tcPr>
                      <w:p w:rsidR="00C603C6" w:rsidRPr="005D3267" w:rsidP="0014663B" w14:paraId="04D37ECA" w14:textId="77777777">
                        <w:pPr>
                          <w:rPr>
                            <w:rFonts w:ascii="Arial" w:eastAsia="Calibri" w:hAnsi="Arial" w:cs="Arial"/>
                            <w:b/>
                            <w:bCs/>
                            <w:color w:val="FFFFFF"/>
                            <w:sz w:val="16"/>
                            <w:szCs w:val="16"/>
                          </w:rPr>
                        </w:pPr>
                      </w:p>
                    </w:tc>
                    <w:tc>
                      <w:tcPr>
                        <w:tcW w:w="419" w:type="dxa"/>
                        <w:tcBorders>
                          <w:top w:val="nil"/>
                          <w:left w:val="nil"/>
                          <w:bottom w:val="nil"/>
                          <w:right w:val="nil"/>
                        </w:tcBorders>
                        <w:shd w:val="clear" w:color="auto" w:fill="1F3864" w:themeFill="accent5" w:themeFillShade="80"/>
                      </w:tcPr>
                      <w:p w:rsidR="00C603C6" w:rsidRPr="005D3267" w:rsidP="0014663B" w14:paraId="40B3C72D" w14:textId="77777777">
                        <w:pPr>
                          <w:rPr>
                            <w:rFonts w:ascii="Arial" w:eastAsia="Calibri" w:hAnsi="Arial" w:cs="Arial"/>
                            <w:b/>
                            <w:bCs/>
                            <w:color w:val="FFFFFF"/>
                            <w:sz w:val="16"/>
                            <w:szCs w:val="16"/>
                          </w:rPr>
                        </w:pPr>
                      </w:p>
                    </w:tc>
                    <w:tc>
                      <w:tcPr>
                        <w:tcW w:w="239" w:type="dxa"/>
                        <w:tcBorders>
                          <w:top w:val="nil"/>
                          <w:left w:val="nil"/>
                          <w:bottom w:val="nil"/>
                          <w:right w:val="nil"/>
                        </w:tcBorders>
                        <w:shd w:val="clear" w:color="auto" w:fill="1F3864" w:themeFill="accent5" w:themeFillShade="80"/>
                      </w:tcPr>
                      <w:p w:rsidR="00C603C6" w:rsidRPr="005D3267" w:rsidP="0014663B" w14:paraId="4BECE13D" w14:textId="77777777">
                        <w:pPr>
                          <w:rPr>
                            <w:rFonts w:ascii="Arial" w:eastAsia="Calibri" w:hAnsi="Arial" w:cs="Arial"/>
                            <w:b/>
                            <w:bCs/>
                            <w:color w:val="FFFFFF"/>
                            <w:sz w:val="16"/>
                            <w:szCs w:val="16"/>
                          </w:rPr>
                        </w:pPr>
                      </w:p>
                    </w:tc>
                    <w:tc>
                      <w:tcPr>
                        <w:tcW w:w="1338" w:type="dxa"/>
                        <w:gridSpan w:val="3"/>
                        <w:tcBorders>
                          <w:top w:val="nil"/>
                          <w:left w:val="nil"/>
                          <w:bottom w:val="nil"/>
                          <w:right w:val="nil"/>
                        </w:tcBorders>
                        <w:shd w:val="clear" w:color="auto" w:fill="1F3864" w:themeFill="accent5" w:themeFillShade="80"/>
                      </w:tcPr>
                      <w:p w:rsidR="00C603C6" w:rsidRPr="005D3267" w:rsidP="0014663B" w14:paraId="5989BD78" w14:textId="77777777">
                        <w:pPr>
                          <w:rPr>
                            <w:rFonts w:ascii="Arial" w:eastAsia="Calibri" w:hAnsi="Arial" w:cs="Arial"/>
                            <w:b/>
                            <w:bCs/>
                            <w:color w:val="FFFFFF"/>
                            <w:sz w:val="16"/>
                            <w:szCs w:val="16"/>
                          </w:rPr>
                        </w:pPr>
                        <w:r w:rsidRPr="005D3267">
                          <w:rPr>
                            <w:rFonts w:ascii="Arial" w:eastAsia="Calibri" w:hAnsi="Arial" w:cs="Arial"/>
                            <w:b/>
                            <w:bCs/>
                            <w:color w:val="FFFFFF"/>
                            <w:sz w:val="16"/>
                            <w:szCs w:val="16"/>
                          </w:rPr>
                          <w:t>Hoog risico</w:t>
                        </w:r>
                      </w:p>
                    </w:tc>
                    <w:tc>
                      <w:tcPr>
                        <w:tcW w:w="420" w:type="dxa"/>
                        <w:tcBorders>
                          <w:top w:val="nil"/>
                          <w:left w:val="nil"/>
                          <w:bottom w:val="nil"/>
                          <w:right w:val="nil"/>
                        </w:tcBorders>
                        <w:shd w:val="clear" w:color="auto" w:fill="1F3864" w:themeFill="accent5" w:themeFillShade="80"/>
                      </w:tcPr>
                      <w:p w:rsidR="00C603C6" w:rsidRPr="005D3267" w:rsidP="0014663B" w14:paraId="14369C68" w14:textId="77777777">
                        <w:pPr>
                          <w:rPr>
                            <w:rFonts w:ascii="Arial" w:eastAsia="Calibri" w:hAnsi="Arial" w:cs="Arial"/>
                            <w:b/>
                            <w:bCs/>
                            <w:color w:val="FFFFFF"/>
                            <w:sz w:val="16"/>
                            <w:szCs w:val="16"/>
                          </w:rPr>
                        </w:pPr>
                      </w:p>
                    </w:tc>
                  </w:tr>
                  <w:tr w14:paraId="3846DB06" w14:textId="77777777" w:rsidTr="00C603C6">
                    <w:tblPrEx>
                      <w:tblW w:w="0" w:type="auto"/>
                      <w:jc w:val="center"/>
                      <w:tblLook w:val="04A0"/>
                    </w:tblPrEx>
                    <w:trPr>
                      <w:jc w:val="center"/>
                    </w:trPr>
                    <w:tc>
                      <w:tcPr>
                        <w:tcW w:w="420" w:type="dxa"/>
                        <w:tcBorders>
                          <w:top w:val="nil"/>
                          <w:left w:val="nil"/>
                          <w:bottom w:val="nil"/>
                          <w:right w:val="nil"/>
                        </w:tcBorders>
                        <w:shd w:val="clear" w:color="auto" w:fill="1F3864" w:themeFill="accent5" w:themeFillShade="80"/>
                      </w:tcPr>
                      <w:p w:rsidR="00C603C6" w:rsidRPr="005D3267" w:rsidP="0014663B" w14:paraId="3DCC394B" w14:textId="77777777">
                        <w:pPr>
                          <w:rPr>
                            <w:rFonts w:ascii="Arial" w:eastAsia="Calibri" w:hAnsi="Arial" w:cs="Arial"/>
                            <w:sz w:val="16"/>
                            <w:szCs w:val="16"/>
                          </w:rPr>
                        </w:pPr>
                      </w:p>
                    </w:tc>
                    <w:tc>
                      <w:tcPr>
                        <w:tcW w:w="603" w:type="dxa"/>
                        <w:tcBorders>
                          <w:top w:val="nil"/>
                          <w:left w:val="nil"/>
                          <w:bottom w:val="nil"/>
                          <w:right w:val="nil"/>
                        </w:tcBorders>
                        <w:shd w:val="clear" w:color="auto" w:fill="1F3864" w:themeFill="accent5" w:themeFillShade="80"/>
                      </w:tcPr>
                      <w:p w:rsidR="00C603C6" w:rsidRPr="005D3267" w:rsidP="0014663B" w14:paraId="5EBEBCE0" w14:textId="77777777">
                        <w:pPr>
                          <w:rPr>
                            <w:rFonts w:ascii="Arial" w:eastAsia="Calibri" w:hAnsi="Arial" w:cs="Arial"/>
                            <w:sz w:val="16"/>
                            <w:szCs w:val="16"/>
                          </w:rPr>
                        </w:pPr>
                      </w:p>
                    </w:tc>
                    <w:tc>
                      <w:tcPr>
                        <w:tcW w:w="559" w:type="dxa"/>
                        <w:gridSpan w:val="2"/>
                        <w:tcBorders>
                          <w:top w:val="nil"/>
                          <w:left w:val="nil"/>
                          <w:bottom w:val="nil"/>
                          <w:right w:val="nil"/>
                        </w:tcBorders>
                        <w:shd w:val="clear" w:color="auto" w:fill="1F3864" w:themeFill="accent5" w:themeFillShade="80"/>
                      </w:tcPr>
                      <w:p w:rsidR="00C603C6" w:rsidRPr="005D3267" w:rsidP="0014663B" w14:paraId="5660B3EB" w14:textId="77777777">
                        <w:pPr>
                          <w:rPr>
                            <w:rFonts w:ascii="Arial" w:eastAsia="Calibri" w:hAnsi="Arial" w:cs="Arial"/>
                            <w:sz w:val="16"/>
                            <w:szCs w:val="16"/>
                          </w:rPr>
                        </w:pPr>
                      </w:p>
                    </w:tc>
                    <w:tc>
                      <w:tcPr>
                        <w:tcW w:w="411" w:type="dxa"/>
                        <w:tcBorders>
                          <w:top w:val="nil"/>
                          <w:left w:val="nil"/>
                          <w:bottom w:val="nil"/>
                          <w:right w:val="nil"/>
                        </w:tcBorders>
                        <w:shd w:val="clear" w:color="auto" w:fill="1F3864" w:themeFill="accent5" w:themeFillShade="80"/>
                      </w:tcPr>
                      <w:p w:rsidR="00C603C6" w:rsidRPr="005D3267" w:rsidP="0014663B" w14:paraId="56E31057" w14:textId="77777777">
                        <w:pPr>
                          <w:rPr>
                            <w:rFonts w:ascii="Arial" w:eastAsia="Calibri" w:hAnsi="Arial" w:cs="Arial"/>
                            <w:sz w:val="16"/>
                            <w:szCs w:val="16"/>
                          </w:rPr>
                        </w:pPr>
                      </w:p>
                    </w:tc>
                    <w:tc>
                      <w:tcPr>
                        <w:tcW w:w="419" w:type="dxa"/>
                        <w:tcBorders>
                          <w:top w:val="nil"/>
                          <w:left w:val="nil"/>
                          <w:bottom w:val="nil"/>
                          <w:right w:val="nil"/>
                        </w:tcBorders>
                        <w:shd w:val="clear" w:color="auto" w:fill="1F3864" w:themeFill="accent5" w:themeFillShade="80"/>
                      </w:tcPr>
                      <w:p w:rsidR="00C603C6" w:rsidRPr="005D3267" w:rsidP="0014663B" w14:paraId="5FF6CEDE" w14:textId="77777777">
                        <w:pPr>
                          <w:rPr>
                            <w:rFonts w:ascii="Arial" w:eastAsia="Calibri" w:hAnsi="Arial" w:cs="Arial"/>
                            <w:sz w:val="16"/>
                            <w:szCs w:val="16"/>
                          </w:rPr>
                        </w:pPr>
                      </w:p>
                    </w:tc>
                    <w:tc>
                      <w:tcPr>
                        <w:tcW w:w="551" w:type="dxa"/>
                        <w:tcBorders>
                          <w:top w:val="nil"/>
                          <w:left w:val="nil"/>
                          <w:bottom w:val="nil"/>
                          <w:right w:val="nil"/>
                        </w:tcBorders>
                        <w:shd w:val="clear" w:color="auto" w:fill="1F3864" w:themeFill="accent5" w:themeFillShade="80"/>
                      </w:tcPr>
                      <w:p w:rsidR="00C603C6" w:rsidRPr="005D3267" w:rsidP="0014663B" w14:paraId="1A6AFEC1" w14:textId="77777777">
                        <w:pPr>
                          <w:rPr>
                            <w:rFonts w:ascii="Arial" w:eastAsia="Calibri" w:hAnsi="Arial" w:cs="Arial"/>
                            <w:sz w:val="16"/>
                            <w:szCs w:val="16"/>
                          </w:rPr>
                        </w:pPr>
                      </w:p>
                    </w:tc>
                    <w:tc>
                      <w:tcPr>
                        <w:tcW w:w="419" w:type="dxa"/>
                        <w:tcBorders>
                          <w:top w:val="nil"/>
                          <w:left w:val="nil"/>
                          <w:bottom w:val="nil"/>
                          <w:right w:val="nil"/>
                        </w:tcBorders>
                        <w:shd w:val="clear" w:color="auto" w:fill="1F3864" w:themeFill="accent5" w:themeFillShade="80"/>
                      </w:tcPr>
                      <w:p w:rsidR="00C603C6" w:rsidRPr="005D3267" w:rsidP="0014663B" w14:paraId="15BBFF5E" w14:textId="77777777">
                        <w:pPr>
                          <w:rPr>
                            <w:rFonts w:ascii="Arial" w:eastAsia="Calibri" w:hAnsi="Arial" w:cs="Arial"/>
                            <w:sz w:val="16"/>
                            <w:szCs w:val="16"/>
                          </w:rPr>
                        </w:pPr>
                      </w:p>
                    </w:tc>
                    <w:tc>
                      <w:tcPr>
                        <w:tcW w:w="551" w:type="dxa"/>
                        <w:tcBorders>
                          <w:top w:val="nil"/>
                          <w:left w:val="nil"/>
                          <w:bottom w:val="nil"/>
                          <w:right w:val="nil"/>
                        </w:tcBorders>
                        <w:shd w:val="clear" w:color="auto" w:fill="1F3864" w:themeFill="accent5" w:themeFillShade="80"/>
                      </w:tcPr>
                      <w:p w:rsidR="00C603C6" w:rsidRPr="005D3267" w:rsidP="0014663B" w14:paraId="68407709" w14:textId="77777777">
                        <w:pPr>
                          <w:rPr>
                            <w:rFonts w:ascii="Arial" w:eastAsia="Calibri" w:hAnsi="Arial" w:cs="Arial"/>
                            <w:sz w:val="16"/>
                            <w:szCs w:val="16"/>
                          </w:rPr>
                        </w:pPr>
                      </w:p>
                    </w:tc>
                    <w:tc>
                      <w:tcPr>
                        <w:tcW w:w="419" w:type="dxa"/>
                        <w:tcBorders>
                          <w:top w:val="nil"/>
                          <w:left w:val="nil"/>
                          <w:bottom w:val="nil"/>
                          <w:right w:val="nil"/>
                        </w:tcBorders>
                        <w:shd w:val="clear" w:color="auto" w:fill="1F3864" w:themeFill="accent5" w:themeFillShade="80"/>
                      </w:tcPr>
                      <w:p w:rsidR="00C603C6" w:rsidRPr="005D3267" w:rsidP="0014663B" w14:paraId="0C2395D3" w14:textId="77777777">
                        <w:pPr>
                          <w:rPr>
                            <w:rFonts w:ascii="Arial" w:eastAsia="Calibri" w:hAnsi="Arial" w:cs="Arial"/>
                            <w:sz w:val="16"/>
                            <w:szCs w:val="16"/>
                          </w:rPr>
                        </w:pPr>
                      </w:p>
                    </w:tc>
                    <w:tc>
                      <w:tcPr>
                        <w:tcW w:w="551" w:type="dxa"/>
                        <w:tcBorders>
                          <w:top w:val="nil"/>
                          <w:left w:val="nil"/>
                          <w:bottom w:val="nil"/>
                          <w:right w:val="nil"/>
                        </w:tcBorders>
                        <w:shd w:val="clear" w:color="auto" w:fill="1F3864" w:themeFill="accent5" w:themeFillShade="80"/>
                      </w:tcPr>
                      <w:p w:rsidR="00C603C6" w:rsidRPr="005D3267" w:rsidP="0014663B" w14:paraId="4C37754D" w14:textId="77777777">
                        <w:pPr>
                          <w:rPr>
                            <w:rFonts w:ascii="Arial" w:eastAsia="Calibri" w:hAnsi="Arial" w:cs="Arial"/>
                            <w:sz w:val="16"/>
                            <w:szCs w:val="16"/>
                          </w:rPr>
                        </w:pPr>
                      </w:p>
                    </w:tc>
                    <w:tc>
                      <w:tcPr>
                        <w:tcW w:w="419" w:type="dxa"/>
                        <w:tcBorders>
                          <w:top w:val="nil"/>
                          <w:left w:val="nil"/>
                          <w:bottom w:val="nil"/>
                          <w:right w:val="nil"/>
                        </w:tcBorders>
                        <w:shd w:val="clear" w:color="auto" w:fill="1F3864" w:themeFill="accent5" w:themeFillShade="80"/>
                      </w:tcPr>
                      <w:p w:rsidR="00C603C6" w:rsidRPr="005D3267" w:rsidP="0014663B" w14:paraId="069BE6EA" w14:textId="77777777">
                        <w:pPr>
                          <w:rPr>
                            <w:rFonts w:ascii="Arial" w:eastAsia="Calibri" w:hAnsi="Arial" w:cs="Arial"/>
                            <w:sz w:val="16"/>
                            <w:szCs w:val="16"/>
                          </w:rPr>
                        </w:pPr>
                      </w:p>
                    </w:tc>
                    <w:tc>
                      <w:tcPr>
                        <w:tcW w:w="239" w:type="dxa"/>
                        <w:tcBorders>
                          <w:top w:val="nil"/>
                          <w:left w:val="nil"/>
                          <w:bottom w:val="nil"/>
                          <w:right w:val="nil"/>
                        </w:tcBorders>
                        <w:shd w:val="clear" w:color="auto" w:fill="1F3864" w:themeFill="accent5" w:themeFillShade="80"/>
                      </w:tcPr>
                      <w:p w:rsidR="00C603C6" w:rsidRPr="005D3267" w:rsidP="0014663B" w14:paraId="25F64D9D" w14:textId="77777777">
                        <w:pPr>
                          <w:rPr>
                            <w:rFonts w:ascii="Arial" w:eastAsia="Calibri" w:hAnsi="Arial" w:cs="Arial"/>
                            <w:sz w:val="16"/>
                            <w:szCs w:val="16"/>
                          </w:rPr>
                        </w:pPr>
                      </w:p>
                    </w:tc>
                    <w:tc>
                      <w:tcPr>
                        <w:tcW w:w="787" w:type="dxa"/>
                        <w:gridSpan w:val="2"/>
                        <w:tcBorders>
                          <w:top w:val="nil"/>
                          <w:left w:val="nil"/>
                          <w:bottom w:val="nil"/>
                          <w:right w:val="nil"/>
                        </w:tcBorders>
                        <w:shd w:val="clear" w:color="auto" w:fill="1F3864" w:themeFill="accent5" w:themeFillShade="80"/>
                      </w:tcPr>
                      <w:p w:rsidR="00C603C6" w:rsidRPr="005D3267" w:rsidP="0014663B" w14:paraId="750C591F" w14:textId="77777777">
                        <w:pPr>
                          <w:rPr>
                            <w:rFonts w:ascii="Arial" w:eastAsia="Calibri" w:hAnsi="Arial" w:cs="Arial"/>
                            <w:sz w:val="16"/>
                            <w:szCs w:val="16"/>
                          </w:rPr>
                        </w:pPr>
                      </w:p>
                    </w:tc>
                    <w:tc>
                      <w:tcPr>
                        <w:tcW w:w="551" w:type="dxa"/>
                        <w:tcBorders>
                          <w:top w:val="nil"/>
                          <w:left w:val="nil"/>
                          <w:bottom w:val="nil"/>
                          <w:right w:val="nil"/>
                        </w:tcBorders>
                        <w:shd w:val="clear" w:color="auto" w:fill="1F3864" w:themeFill="accent5" w:themeFillShade="80"/>
                      </w:tcPr>
                      <w:p w:rsidR="00C603C6" w:rsidRPr="005D3267" w:rsidP="0014663B" w14:paraId="75C3F956" w14:textId="77777777">
                        <w:pPr>
                          <w:rPr>
                            <w:rFonts w:ascii="Arial" w:eastAsia="Calibri" w:hAnsi="Arial" w:cs="Arial"/>
                            <w:sz w:val="16"/>
                            <w:szCs w:val="16"/>
                          </w:rPr>
                        </w:pPr>
                      </w:p>
                    </w:tc>
                    <w:tc>
                      <w:tcPr>
                        <w:tcW w:w="420" w:type="dxa"/>
                        <w:tcBorders>
                          <w:top w:val="nil"/>
                          <w:left w:val="nil"/>
                          <w:bottom w:val="nil"/>
                          <w:right w:val="nil"/>
                        </w:tcBorders>
                        <w:shd w:val="clear" w:color="auto" w:fill="1F3864" w:themeFill="accent5" w:themeFillShade="80"/>
                      </w:tcPr>
                      <w:p w:rsidR="00C603C6" w:rsidRPr="005D3267" w:rsidP="0014663B" w14:paraId="7A415AD7" w14:textId="77777777">
                        <w:pPr>
                          <w:rPr>
                            <w:rFonts w:ascii="Arial" w:eastAsia="Calibri" w:hAnsi="Arial" w:cs="Arial"/>
                            <w:sz w:val="16"/>
                            <w:szCs w:val="16"/>
                          </w:rPr>
                        </w:pPr>
                      </w:p>
                    </w:tc>
                  </w:tr>
                  <w:tr w14:paraId="2C083D5C" w14:textId="77777777" w:rsidTr="00C603C6">
                    <w:tblPrEx>
                      <w:tblW w:w="0" w:type="auto"/>
                      <w:jc w:val="center"/>
                      <w:tblLook w:val="04A0"/>
                    </w:tblPrEx>
                    <w:trPr>
                      <w:jc w:val="center"/>
                    </w:trPr>
                    <w:tc>
                      <w:tcPr>
                        <w:tcW w:w="420" w:type="dxa"/>
                        <w:tcBorders>
                          <w:top w:val="nil"/>
                          <w:left w:val="nil"/>
                          <w:bottom w:val="nil"/>
                          <w:right w:val="nil"/>
                        </w:tcBorders>
                        <w:shd w:val="clear" w:color="auto" w:fill="1F3864" w:themeFill="accent5" w:themeFillShade="80"/>
                      </w:tcPr>
                      <w:p w:rsidR="00C603C6" w:rsidRPr="005D3267" w:rsidP="0014663B" w14:paraId="114D44D5" w14:textId="705BA19C">
                        <w:pPr>
                          <w:spacing w:before="60" w:after="60"/>
                          <w:rPr>
                            <w:rFonts w:ascii="Arial" w:eastAsia="Calibri" w:hAnsi="Arial" w:cs="Arial"/>
                            <w:sz w:val="16"/>
                            <w:szCs w:val="16"/>
                          </w:rPr>
                        </w:pPr>
                        <w:r w:rsidRPr="005D3267">
                          <w:rPr>
                            <w:rFonts w:ascii="Arial" w:eastAsia="Calibri" w:hAnsi="Arial" w:cs="Arial"/>
                            <w:noProof/>
                            <w:sz w:val="16"/>
                            <w:szCs w:val="16"/>
                          </w:rPr>
                          <mc:AlternateContent>
                            <mc:Choice Requires="wps">
                              <w:drawing>
                                <wp:anchor distT="0" distB="0" distL="114300" distR="114300" simplePos="0" relativeHeight="251658240" behindDoc="0" locked="0" layoutInCell="1" allowOverlap="1">
                                  <wp:simplePos x="0" y="0"/>
                                  <wp:positionH relativeFrom="column">
                                    <wp:posOffset>127635</wp:posOffset>
                                  </wp:positionH>
                                  <wp:positionV relativeFrom="paragraph">
                                    <wp:posOffset>145415</wp:posOffset>
                                  </wp:positionV>
                                  <wp:extent cx="685800" cy="685800"/>
                                  <wp:effectExtent l="19050" t="19050" r="38100" b="19050"/>
                                  <wp:wrapNone/>
                                  <wp:docPr id="2" name="Flowchart: Extract 2"/>
                                  <wp:cNvGraphicFramePr/>
                                  <a:graphic xmlns:a="http://schemas.openxmlformats.org/drawingml/2006/main">
                                    <a:graphicData uri="http://schemas.microsoft.com/office/word/2010/wordprocessingShape">
                                      <wps:wsp xmlns:wps="http://schemas.microsoft.com/office/word/2010/wordprocessingShape">
                                        <wps:cNvSpPr/>
                                        <wps:spPr>
                                          <a:xfrm>
                                            <a:off x="0" y="0"/>
                                            <a:ext cx="685800" cy="685800"/>
                                          </a:xfrm>
                                          <a:prstGeom prst="flowChartExtract">
                                            <a:avLst/>
                                          </a:prstGeom>
                                          <a:solidFill>
                                            <a:srgbClr val="FFC000"/>
                                          </a:solidFill>
                                          <a:ln w="12700">
                                            <a:solidFill>
                                              <a:srgbClr val="4472C4">
                                                <a:shade val="50000"/>
                                              </a:srgbClr>
                                            </a:solidFill>
                                            <a:miter lim="800000"/>
                                          </a:ln>
                                          <a:effectLst/>
                                        </wps:spPr>
                                        <wps:txbx>
                                          <w:txbxContent>
                                            <w:p w:rsidR="00C603C6" w:rsidRPr="00D21307" w:rsidP="00B0397A" w14:textId="77777777">
                                              <w:pPr>
                                                <w:jc w:val="center"/>
                                                <w:rPr>
                                                  <w:rFonts w:ascii="Arial" w:hAnsi="Arial" w:cs="Arial"/>
                                                  <w:b/>
                                                  <w:bCs/>
                                                  <w:color w:val="FFFFFF" w:themeColor="background1"/>
                                                  <w:sz w:val="36"/>
                                                  <w:szCs w:val="36"/>
                                                </w:rPr>
                                              </w:pPr>
                                              <w:r w:rsidRPr="00D21307">
                                                <w:rPr>
                                                  <w:rFonts w:ascii="Arial" w:hAnsi="Arial" w:cs="Arial"/>
                                                  <w:b/>
                                                  <w:bCs/>
                                                  <w:color w:val="FFFFFF" w:themeColor="background1"/>
                                                  <w:sz w:val="36"/>
                                                  <w:szCs w:val="36"/>
                                                </w:rPr>
                                                <w:t>!</w:t>
                                              </w:r>
                                            </w:p>
                                          </w:txbxContent>
                                        </wps:txbx>
                                        <wps:bodyPr rot="0" spcFirstLastPara="0" vertOverflow="overflow" horzOverflow="overflow" vert="horz" wrap="square" lIns="91440" tIns="0" rIns="91440" bIns="108000" numCol="1" spcCol="0" rtlCol="0" fromWordArt="0" anchor="t" anchorCtr="0" forceAA="0" compatLnSpc="1">
                                          <a:prstTxWarp prst="textNoShape">
                                            <a:avLst/>
                                          </a:prstTxWarp>
                                        </wps:bodyPr>
                                      </wps:wsp>
                                    </a:graphicData>
                                  </a:graphic>
                                </wp:anchor>
                              </w:drawing>
                            </mc:Choice>
                            <mc:Fallback>
                              <w:pict>
                                <v:shapetype id="_x0000_t127" coordsize="21600,21600" o:spt="127" path="m10800,l21600,21600,,21600xe">
                                  <v:stroke joinstyle="miter"/>
                                  <v:path gradientshapeok="t" o:connecttype="custom" o:connectlocs="10800,0;5400,10800;10800,21600;16200,10800" textboxrect="5400,10800,16200,21600"/>
                                </v:shapetype>
                                <v:shape id="Flowchart: Extract 2" o:spid="_x0000_s1025" type="#_x0000_t127" style="width:54pt;height:54pt;margin-top:11.45pt;margin-left:10.05pt;mso-wrap-distance-bottom:0;mso-wrap-distance-left:9pt;mso-wrap-distance-right:9pt;mso-wrap-distance-top:0;mso-wrap-style:square;position:absolute;visibility:visible;v-text-anchor:top;z-index:251659264" fillcolor="#ffc000" strokecolor="#2f528f" strokeweight="1pt">
                                  <v:textbox inset=",0,,8.5pt">
                                    <w:txbxContent>
                                      <w:p w:rsidR="00C603C6" w:rsidRPr="00D21307" w:rsidP="00B0397A" w14:paraId="159A57DE" w14:textId="77777777">
                                        <w:pPr>
                                          <w:jc w:val="center"/>
                                          <w:rPr>
                                            <w:rFonts w:ascii="Arial" w:hAnsi="Arial" w:cs="Arial"/>
                                            <w:b/>
                                            <w:bCs/>
                                            <w:color w:val="FFFFFF" w:themeColor="background1"/>
                                            <w:sz w:val="36"/>
                                            <w:szCs w:val="36"/>
                                          </w:rPr>
                                        </w:pPr>
                                        <w:r w:rsidRPr="00D21307">
                                          <w:rPr>
                                            <w:rFonts w:ascii="Arial" w:hAnsi="Arial" w:cs="Arial"/>
                                            <w:b/>
                                            <w:bCs/>
                                            <w:color w:val="FFFFFF" w:themeColor="background1"/>
                                            <w:sz w:val="36"/>
                                            <w:szCs w:val="36"/>
                                          </w:rPr>
                                          <w:t>!</w:t>
                                        </w:r>
                                      </w:p>
                                    </w:txbxContent>
                                  </v:textbox>
                                </v:shape>
                              </w:pict>
                            </mc:Fallback>
                          </mc:AlternateContent>
                        </w:r>
                      </w:p>
                    </w:tc>
                    <w:tc>
                      <w:tcPr>
                        <w:tcW w:w="603" w:type="dxa"/>
                        <w:tcBorders>
                          <w:top w:val="nil"/>
                          <w:left w:val="nil"/>
                          <w:bottom w:val="nil"/>
                          <w:right w:val="nil"/>
                        </w:tcBorders>
                        <w:shd w:val="clear" w:color="auto" w:fill="1F3864" w:themeFill="accent5" w:themeFillShade="80"/>
                      </w:tcPr>
                      <w:p w:rsidR="00C603C6" w:rsidRPr="005D3267" w:rsidP="0014663B" w14:paraId="5C565613" w14:textId="000C3BB8">
                        <w:pPr>
                          <w:spacing w:before="60" w:after="60"/>
                          <w:rPr>
                            <w:rFonts w:ascii="Arial" w:eastAsia="Calibri" w:hAnsi="Arial" w:cs="Arial"/>
                            <w:sz w:val="16"/>
                            <w:szCs w:val="16"/>
                          </w:rPr>
                        </w:pPr>
                      </w:p>
                    </w:tc>
                    <w:tc>
                      <w:tcPr>
                        <w:tcW w:w="419" w:type="dxa"/>
                        <w:tcBorders>
                          <w:top w:val="nil"/>
                          <w:left w:val="nil"/>
                          <w:bottom w:val="nil"/>
                          <w:right w:val="nil"/>
                        </w:tcBorders>
                        <w:shd w:val="clear" w:color="auto" w:fill="1F3864" w:themeFill="accent5" w:themeFillShade="80"/>
                      </w:tcPr>
                      <w:p w:rsidR="00C603C6" w:rsidRPr="005D3267" w:rsidP="0014663B" w14:paraId="773107AB" w14:textId="77777777">
                        <w:pPr>
                          <w:spacing w:before="60" w:after="60"/>
                          <w:rPr>
                            <w:rFonts w:ascii="Arial" w:eastAsia="Calibri" w:hAnsi="Arial" w:cs="Arial"/>
                            <w:sz w:val="16"/>
                            <w:szCs w:val="16"/>
                          </w:rPr>
                        </w:pPr>
                      </w:p>
                    </w:tc>
                    <w:tc>
                      <w:tcPr>
                        <w:tcW w:w="5457" w:type="dxa"/>
                        <w:gridSpan w:val="13"/>
                        <w:tcBorders>
                          <w:top w:val="nil"/>
                          <w:left w:val="nil"/>
                          <w:bottom w:val="nil"/>
                          <w:right w:val="nil"/>
                        </w:tcBorders>
                        <w:shd w:val="clear" w:color="auto" w:fill="1F3864" w:themeFill="accent5" w:themeFillShade="80"/>
                      </w:tcPr>
                      <w:p w:rsidR="00C603C6" w:rsidRPr="005D3267" w:rsidP="0014663B" w14:paraId="2F00131F" w14:textId="2BF3B648">
                        <w:pPr>
                          <w:spacing w:before="60" w:after="60"/>
                          <w:rPr>
                            <w:rFonts w:ascii="Arial" w:eastAsia="Calibri" w:hAnsi="Arial" w:cs="Arial"/>
                            <w:b/>
                            <w:bCs/>
                            <w:sz w:val="16"/>
                            <w:szCs w:val="16"/>
                            <w:lang w:val="nl-NL"/>
                          </w:rPr>
                        </w:pPr>
                        <w:r w:rsidRPr="005D3267">
                          <w:rPr>
                            <w:rFonts w:ascii="Arial" w:eastAsia="Calibri" w:hAnsi="Arial" w:cs="Arial"/>
                            <w:b/>
                            <w:bCs/>
                            <w:color w:val="FFFFFF"/>
                            <w:sz w:val="16"/>
                            <w:szCs w:val="16"/>
                            <w:lang w:val="nl-NL"/>
                          </w:rPr>
                          <w:t xml:space="preserve">Voor de risico-indicator wordt ervan uitgegaan dat u het product houdt voor </w:t>
                        </w:r>
                        <w:r>
                          <w:rPr>
                            <w:rFonts w:ascii="Arial" w:eastAsia="Calibri" w:hAnsi="Arial" w:cs="Arial"/>
                            <w:b/>
                            <w:bCs/>
                            <w:color w:val="FFFFFF"/>
                            <w:sz w:val="16"/>
                            <w:szCs w:val="16"/>
                            <w:lang w:val="nl-NL"/>
                          </w:rPr>
                          <w:t xml:space="preserve">[10] </w:t>
                        </w:r>
                        <w:r w:rsidRPr="005D3267">
                          <w:rPr>
                            <w:rFonts w:ascii="Arial" w:eastAsia="Calibri" w:hAnsi="Arial" w:cs="Arial"/>
                            <w:b/>
                            <w:bCs/>
                            <w:color w:val="FFFFFF"/>
                            <w:sz w:val="16"/>
                            <w:szCs w:val="16"/>
                            <w:lang w:val="nl-NL"/>
                          </w:rPr>
                          <w:t>jaar.</w:t>
                        </w:r>
                      </w:p>
                    </w:tc>
                    <w:tc>
                      <w:tcPr>
                        <w:tcW w:w="420" w:type="dxa"/>
                        <w:tcBorders>
                          <w:top w:val="nil"/>
                          <w:left w:val="nil"/>
                          <w:bottom w:val="nil"/>
                          <w:right w:val="nil"/>
                        </w:tcBorders>
                        <w:shd w:val="clear" w:color="auto" w:fill="1F3864" w:themeFill="accent5" w:themeFillShade="80"/>
                      </w:tcPr>
                      <w:p w:rsidR="00C603C6" w:rsidRPr="005D3267" w:rsidP="0014663B" w14:paraId="30EA6A99" w14:textId="77777777">
                        <w:pPr>
                          <w:spacing w:before="60" w:after="60"/>
                          <w:rPr>
                            <w:rFonts w:ascii="Arial" w:eastAsia="Calibri" w:hAnsi="Arial" w:cs="Arial"/>
                            <w:sz w:val="16"/>
                            <w:szCs w:val="16"/>
                            <w:lang w:val="nl-NL"/>
                          </w:rPr>
                        </w:pPr>
                      </w:p>
                    </w:tc>
                  </w:tr>
                  <w:tr w14:paraId="01591AEE" w14:textId="77777777" w:rsidTr="00C603C6">
                    <w:tblPrEx>
                      <w:tblW w:w="0" w:type="auto"/>
                      <w:jc w:val="center"/>
                      <w:tblLook w:val="04A0"/>
                    </w:tblPrEx>
                    <w:trPr>
                      <w:jc w:val="center"/>
                    </w:trPr>
                    <w:tc>
                      <w:tcPr>
                        <w:tcW w:w="420" w:type="dxa"/>
                        <w:tcBorders>
                          <w:top w:val="nil"/>
                          <w:left w:val="nil"/>
                          <w:bottom w:val="nil"/>
                          <w:right w:val="nil"/>
                        </w:tcBorders>
                        <w:shd w:val="clear" w:color="auto" w:fill="1F3864" w:themeFill="accent5" w:themeFillShade="80"/>
                      </w:tcPr>
                      <w:p w:rsidR="00C603C6" w:rsidRPr="005D3267" w:rsidP="0014663B" w14:paraId="5326BABA" w14:textId="77777777">
                        <w:pPr>
                          <w:spacing w:before="60" w:after="60"/>
                          <w:rPr>
                            <w:rFonts w:ascii="Arial" w:eastAsia="Calibri" w:hAnsi="Arial" w:cs="Arial"/>
                            <w:sz w:val="16"/>
                            <w:szCs w:val="16"/>
                            <w:lang w:val="nl-NL"/>
                          </w:rPr>
                        </w:pPr>
                      </w:p>
                    </w:tc>
                    <w:tc>
                      <w:tcPr>
                        <w:tcW w:w="603" w:type="dxa"/>
                        <w:tcBorders>
                          <w:top w:val="nil"/>
                          <w:left w:val="nil"/>
                          <w:bottom w:val="nil"/>
                          <w:right w:val="nil"/>
                        </w:tcBorders>
                        <w:shd w:val="clear" w:color="auto" w:fill="1F3864" w:themeFill="accent5" w:themeFillShade="80"/>
                      </w:tcPr>
                      <w:p w:rsidR="00C603C6" w:rsidRPr="005D3267" w:rsidP="0014663B" w14:paraId="0FD65647" w14:textId="77777777">
                        <w:pPr>
                          <w:spacing w:before="60" w:after="60"/>
                          <w:rPr>
                            <w:rFonts w:ascii="Arial" w:eastAsia="Calibri" w:hAnsi="Arial" w:cs="Arial"/>
                            <w:sz w:val="16"/>
                            <w:szCs w:val="16"/>
                            <w:lang w:val="nl-NL"/>
                          </w:rPr>
                        </w:pPr>
                      </w:p>
                    </w:tc>
                    <w:tc>
                      <w:tcPr>
                        <w:tcW w:w="419" w:type="dxa"/>
                        <w:tcBorders>
                          <w:top w:val="nil"/>
                          <w:left w:val="nil"/>
                          <w:bottom w:val="nil"/>
                          <w:right w:val="nil"/>
                        </w:tcBorders>
                        <w:shd w:val="clear" w:color="auto" w:fill="1F3864" w:themeFill="accent5" w:themeFillShade="80"/>
                      </w:tcPr>
                      <w:p w:rsidR="00C603C6" w:rsidRPr="005D3267" w:rsidP="0014663B" w14:paraId="2CB89A11" w14:textId="77777777">
                        <w:pPr>
                          <w:spacing w:before="60" w:after="60"/>
                          <w:rPr>
                            <w:rFonts w:ascii="Arial" w:eastAsia="Calibri" w:hAnsi="Arial" w:cs="Arial"/>
                            <w:sz w:val="16"/>
                            <w:szCs w:val="16"/>
                            <w:lang w:val="nl-NL"/>
                          </w:rPr>
                        </w:pPr>
                      </w:p>
                    </w:tc>
                    <w:tc>
                      <w:tcPr>
                        <w:tcW w:w="5457" w:type="dxa"/>
                        <w:gridSpan w:val="13"/>
                        <w:tcBorders>
                          <w:top w:val="nil"/>
                          <w:left w:val="nil"/>
                          <w:bottom w:val="nil"/>
                          <w:right w:val="nil"/>
                        </w:tcBorders>
                        <w:shd w:val="clear" w:color="auto" w:fill="1F3864" w:themeFill="accent5" w:themeFillShade="80"/>
                      </w:tcPr>
                      <w:p w:rsidR="00C603C6" w:rsidRPr="005D3267" w:rsidP="0014663B" w14:paraId="40FB4176" w14:textId="6F929F8C">
                        <w:pPr>
                          <w:spacing w:before="60" w:after="60"/>
                          <w:rPr>
                            <w:rFonts w:ascii="Arial" w:eastAsia="Calibri" w:hAnsi="Arial" w:cs="Arial"/>
                            <w:sz w:val="16"/>
                            <w:szCs w:val="16"/>
                            <w:lang w:val="nl-NL"/>
                          </w:rPr>
                        </w:pPr>
                        <w:r>
                          <w:rPr>
                            <w:rFonts w:ascii="Arial" w:eastAsia="Calibri" w:hAnsi="Arial" w:cs="Arial"/>
                            <w:b/>
                            <w:bCs/>
                            <w:color w:val="FFFFFF"/>
                            <w:sz w:val="16"/>
                            <w:szCs w:val="16"/>
                            <w:lang w:val="nl-NL"/>
                          </w:rPr>
                          <w:t xml:space="preserve">U kunt niet vroeg </w:t>
                        </w:r>
                        <w:r w:rsidR="009327E3">
                          <w:rPr>
                            <w:rFonts w:ascii="Arial" w:eastAsia="Calibri" w:hAnsi="Arial" w:cs="Arial"/>
                            <w:b/>
                            <w:bCs/>
                            <w:color w:val="FFFFFF"/>
                            <w:sz w:val="16"/>
                            <w:szCs w:val="16"/>
                            <w:lang w:val="nl-NL"/>
                          </w:rPr>
                          <w:t>laten inkopen (beëindigen)</w:t>
                        </w:r>
                        <w:r w:rsidRPr="005D3267">
                          <w:rPr>
                            <w:rFonts w:ascii="Arial" w:eastAsia="Calibri" w:hAnsi="Arial" w:cs="Arial"/>
                            <w:b/>
                            <w:bCs/>
                            <w:color w:val="FFFFFF"/>
                            <w:sz w:val="16"/>
                            <w:szCs w:val="16"/>
                            <w:lang w:val="nl-NL"/>
                          </w:rPr>
                          <w:t>.</w:t>
                        </w:r>
                      </w:p>
                    </w:tc>
                    <w:tc>
                      <w:tcPr>
                        <w:tcW w:w="420" w:type="dxa"/>
                        <w:tcBorders>
                          <w:top w:val="nil"/>
                          <w:left w:val="nil"/>
                          <w:bottom w:val="nil"/>
                          <w:right w:val="nil"/>
                        </w:tcBorders>
                        <w:shd w:val="clear" w:color="auto" w:fill="1F3864" w:themeFill="accent5" w:themeFillShade="80"/>
                      </w:tcPr>
                      <w:p w:rsidR="00C603C6" w:rsidRPr="005D3267" w:rsidP="0014663B" w14:paraId="020B2A0E" w14:textId="77777777">
                        <w:pPr>
                          <w:spacing w:before="60" w:after="60"/>
                          <w:rPr>
                            <w:rFonts w:ascii="Arial" w:eastAsia="Calibri" w:hAnsi="Arial" w:cs="Arial"/>
                            <w:sz w:val="16"/>
                            <w:szCs w:val="16"/>
                            <w:lang w:val="nl-NL"/>
                          </w:rPr>
                        </w:pPr>
                      </w:p>
                    </w:tc>
                  </w:tr>
                  <w:tr w14:paraId="5FC8488D" w14:textId="77777777" w:rsidTr="00C603C6">
                    <w:tblPrEx>
                      <w:tblW w:w="0" w:type="auto"/>
                      <w:jc w:val="center"/>
                      <w:tblLook w:val="04A0"/>
                    </w:tblPrEx>
                    <w:trPr>
                      <w:jc w:val="center"/>
                    </w:trPr>
                    <w:tc>
                      <w:tcPr>
                        <w:tcW w:w="420" w:type="dxa"/>
                        <w:tcBorders>
                          <w:top w:val="nil"/>
                          <w:left w:val="nil"/>
                          <w:bottom w:val="nil"/>
                          <w:right w:val="nil"/>
                        </w:tcBorders>
                        <w:shd w:val="clear" w:color="auto" w:fill="1F3864" w:themeFill="accent5" w:themeFillShade="80"/>
                      </w:tcPr>
                      <w:p w:rsidR="00C603C6" w:rsidRPr="005D3267" w:rsidP="0014663B" w14:paraId="526AC6A6" w14:textId="77777777">
                        <w:pPr>
                          <w:spacing w:before="60" w:after="60"/>
                          <w:rPr>
                            <w:rFonts w:ascii="Arial" w:eastAsia="Calibri" w:hAnsi="Arial" w:cs="Arial"/>
                            <w:sz w:val="16"/>
                            <w:szCs w:val="16"/>
                            <w:lang w:val="nl-NL"/>
                          </w:rPr>
                        </w:pPr>
                      </w:p>
                    </w:tc>
                    <w:tc>
                      <w:tcPr>
                        <w:tcW w:w="603" w:type="dxa"/>
                        <w:tcBorders>
                          <w:top w:val="nil"/>
                          <w:left w:val="nil"/>
                          <w:bottom w:val="nil"/>
                          <w:right w:val="nil"/>
                        </w:tcBorders>
                        <w:shd w:val="clear" w:color="auto" w:fill="1F3864" w:themeFill="accent5" w:themeFillShade="80"/>
                      </w:tcPr>
                      <w:p w:rsidR="00C603C6" w:rsidRPr="005D3267" w:rsidP="0014663B" w14:paraId="6553A2E4" w14:textId="77777777">
                        <w:pPr>
                          <w:spacing w:before="60" w:after="60"/>
                          <w:rPr>
                            <w:rFonts w:ascii="Arial" w:eastAsia="Calibri" w:hAnsi="Arial" w:cs="Arial"/>
                            <w:sz w:val="16"/>
                            <w:szCs w:val="16"/>
                            <w:lang w:val="nl-NL"/>
                          </w:rPr>
                        </w:pPr>
                      </w:p>
                    </w:tc>
                    <w:tc>
                      <w:tcPr>
                        <w:tcW w:w="419" w:type="dxa"/>
                        <w:tcBorders>
                          <w:top w:val="nil"/>
                          <w:left w:val="nil"/>
                          <w:bottom w:val="nil"/>
                          <w:right w:val="nil"/>
                        </w:tcBorders>
                        <w:shd w:val="clear" w:color="auto" w:fill="1F3864" w:themeFill="accent5" w:themeFillShade="80"/>
                      </w:tcPr>
                      <w:p w:rsidR="00C603C6" w:rsidRPr="005D3267" w:rsidP="0014663B" w14:paraId="549CF4B2" w14:textId="77777777">
                        <w:pPr>
                          <w:spacing w:before="60" w:after="60"/>
                          <w:rPr>
                            <w:rFonts w:ascii="Arial" w:eastAsia="Calibri" w:hAnsi="Arial" w:cs="Arial"/>
                            <w:sz w:val="16"/>
                            <w:szCs w:val="16"/>
                            <w:lang w:val="nl-NL"/>
                          </w:rPr>
                        </w:pPr>
                      </w:p>
                    </w:tc>
                    <w:tc>
                      <w:tcPr>
                        <w:tcW w:w="5457" w:type="dxa"/>
                        <w:gridSpan w:val="13"/>
                        <w:tcBorders>
                          <w:top w:val="nil"/>
                          <w:left w:val="nil"/>
                          <w:bottom w:val="nil"/>
                          <w:right w:val="nil"/>
                        </w:tcBorders>
                        <w:shd w:val="clear" w:color="auto" w:fill="1F3864" w:themeFill="accent5" w:themeFillShade="80"/>
                      </w:tcPr>
                      <w:p w:rsidR="00C603C6" w:rsidRPr="005D3267" w:rsidP="0014663B" w14:paraId="246431C6" w14:textId="66FFBA50">
                        <w:pPr>
                          <w:spacing w:before="60" w:after="60"/>
                          <w:rPr>
                            <w:rFonts w:ascii="Arial" w:eastAsia="Calibri" w:hAnsi="Arial" w:cs="Arial"/>
                            <w:b/>
                            <w:bCs/>
                            <w:color w:val="FFFFFF"/>
                            <w:sz w:val="16"/>
                            <w:szCs w:val="16"/>
                            <w:lang w:val="nl-NL"/>
                          </w:rPr>
                        </w:pPr>
                        <w:r w:rsidRPr="005D3267">
                          <w:rPr>
                            <w:rFonts w:ascii="Arial" w:eastAsia="Calibri" w:hAnsi="Arial" w:cs="Arial"/>
                            <w:b/>
                            <w:bCs/>
                            <w:color w:val="FFFFFF"/>
                            <w:sz w:val="16"/>
                            <w:szCs w:val="16"/>
                            <w:lang w:val="nl-NL"/>
                          </w:rPr>
                          <w:t xml:space="preserve">U zult </w:t>
                        </w:r>
                        <w:r>
                          <w:rPr>
                            <w:rFonts w:ascii="Arial" w:eastAsia="Calibri" w:hAnsi="Arial" w:cs="Arial"/>
                            <w:b/>
                            <w:bCs/>
                            <w:color w:val="FFFFFF"/>
                            <w:sz w:val="16"/>
                            <w:szCs w:val="16"/>
                            <w:lang w:val="nl-NL"/>
                          </w:rPr>
                          <w:t xml:space="preserve">uw product </w:t>
                        </w:r>
                        <w:r w:rsidRPr="005D3267">
                          <w:rPr>
                            <w:rFonts w:ascii="Arial" w:eastAsia="Calibri" w:hAnsi="Arial" w:cs="Arial"/>
                            <w:b/>
                            <w:bCs/>
                            <w:color w:val="FFFFFF"/>
                            <w:sz w:val="16"/>
                            <w:szCs w:val="16"/>
                            <w:lang w:val="nl-NL"/>
                          </w:rPr>
                          <w:t>niet gemakkelijk kunnen verkopen (beëindigen) of u zult misschien moeten verkopen (beëindigen) voor een prijs die een aanzienlijk effect heeft op hoeveel u terugkrijgt.</w:t>
                        </w:r>
                      </w:p>
                    </w:tc>
                    <w:tc>
                      <w:tcPr>
                        <w:tcW w:w="420" w:type="dxa"/>
                        <w:tcBorders>
                          <w:top w:val="nil"/>
                          <w:left w:val="nil"/>
                          <w:bottom w:val="nil"/>
                          <w:right w:val="nil"/>
                        </w:tcBorders>
                        <w:shd w:val="clear" w:color="auto" w:fill="1F3864" w:themeFill="accent5" w:themeFillShade="80"/>
                      </w:tcPr>
                      <w:p w:rsidR="00C603C6" w:rsidRPr="005D3267" w:rsidP="0014663B" w14:paraId="32D63BFE" w14:textId="77777777">
                        <w:pPr>
                          <w:spacing w:before="60" w:after="60"/>
                          <w:rPr>
                            <w:rFonts w:ascii="Arial" w:eastAsia="Calibri" w:hAnsi="Arial" w:cs="Arial"/>
                            <w:sz w:val="16"/>
                            <w:szCs w:val="16"/>
                            <w:lang w:val="nl-NL"/>
                          </w:rPr>
                        </w:pPr>
                      </w:p>
                    </w:tc>
                  </w:tr>
                  <w:tr w14:paraId="75F269F1" w14:textId="77777777" w:rsidTr="00C603C6">
                    <w:tblPrEx>
                      <w:tblW w:w="0" w:type="auto"/>
                      <w:jc w:val="center"/>
                      <w:tblLook w:val="04A0"/>
                    </w:tblPrEx>
                    <w:trPr>
                      <w:jc w:val="center"/>
                    </w:trPr>
                    <w:tc>
                      <w:tcPr>
                        <w:tcW w:w="420" w:type="dxa"/>
                        <w:tcBorders>
                          <w:top w:val="nil"/>
                          <w:left w:val="nil"/>
                          <w:bottom w:val="nil"/>
                          <w:right w:val="nil"/>
                        </w:tcBorders>
                        <w:shd w:val="clear" w:color="auto" w:fill="1F3864" w:themeFill="accent5" w:themeFillShade="80"/>
                      </w:tcPr>
                      <w:p w:rsidR="00C603C6" w:rsidRPr="005D3267" w:rsidP="0014663B" w14:paraId="21943BCA" w14:textId="77777777">
                        <w:pPr>
                          <w:spacing w:before="60" w:after="60"/>
                          <w:rPr>
                            <w:rFonts w:ascii="Arial" w:eastAsia="Calibri" w:hAnsi="Arial" w:cs="Arial"/>
                            <w:sz w:val="16"/>
                            <w:szCs w:val="16"/>
                            <w:lang w:val="nl-NL"/>
                          </w:rPr>
                        </w:pPr>
                      </w:p>
                    </w:tc>
                    <w:tc>
                      <w:tcPr>
                        <w:tcW w:w="603" w:type="dxa"/>
                        <w:tcBorders>
                          <w:top w:val="nil"/>
                          <w:left w:val="nil"/>
                          <w:bottom w:val="nil"/>
                          <w:right w:val="nil"/>
                        </w:tcBorders>
                        <w:shd w:val="clear" w:color="auto" w:fill="1F3864" w:themeFill="accent5" w:themeFillShade="80"/>
                      </w:tcPr>
                      <w:p w:rsidR="00C603C6" w:rsidRPr="005D3267" w:rsidP="0014663B" w14:paraId="4EC683CE" w14:textId="77777777">
                        <w:pPr>
                          <w:spacing w:before="60" w:after="60"/>
                          <w:rPr>
                            <w:rFonts w:ascii="Arial" w:eastAsia="Calibri" w:hAnsi="Arial" w:cs="Arial"/>
                            <w:sz w:val="16"/>
                            <w:szCs w:val="16"/>
                            <w:lang w:val="nl-NL"/>
                          </w:rPr>
                        </w:pPr>
                      </w:p>
                    </w:tc>
                    <w:tc>
                      <w:tcPr>
                        <w:tcW w:w="419" w:type="dxa"/>
                        <w:tcBorders>
                          <w:top w:val="nil"/>
                          <w:left w:val="nil"/>
                          <w:bottom w:val="nil"/>
                          <w:right w:val="nil"/>
                        </w:tcBorders>
                        <w:shd w:val="clear" w:color="auto" w:fill="1F3864" w:themeFill="accent5" w:themeFillShade="80"/>
                      </w:tcPr>
                      <w:p w:rsidR="00C603C6" w:rsidRPr="005D3267" w:rsidP="0014663B" w14:paraId="30BB645B" w14:textId="77777777">
                        <w:pPr>
                          <w:spacing w:before="60" w:after="60"/>
                          <w:rPr>
                            <w:rFonts w:ascii="Arial" w:eastAsia="Calibri" w:hAnsi="Arial" w:cs="Arial"/>
                            <w:sz w:val="16"/>
                            <w:szCs w:val="16"/>
                            <w:lang w:val="nl-NL"/>
                          </w:rPr>
                        </w:pPr>
                      </w:p>
                    </w:tc>
                    <w:tc>
                      <w:tcPr>
                        <w:tcW w:w="5457" w:type="dxa"/>
                        <w:gridSpan w:val="13"/>
                        <w:tcBorders>
                          <w:top w:val="nil"/>
                          <w:left w:val="nil"/>
                          <w:bottom w:val="nil"/>
                          <w:right w:val="nil"/>
                        </w:tcBorders>
                        <w:shd w:val="clear" w:color="auto" w:fill="1F3864" w:themeFill="accent5" w:themeFillShade="80"/>
                      </w:tcPr>
                      <w:p w:rsidR="00C603C6" w:rsidRPr="005D3267" w:rsidP="0014663B" w14:paraId="2005CDD4" w14:textId="77777777">
                        <w:pPr>
                          <w:spacing w:before="60" w:after="60"/>
                          <w:rPr>
                            <w:rFonts w:ascii="Arial" w:eastAsia="Calibri" w:hAnsi="Arial" w:cs="Arial"/>
                            <w:b/>
                            <w:bCs/>
                            <w:color w:val="FFFFFF"/>
                            <w:sz w:val="16"/>
                            <w:szCs w:val="16"/>
                            <w:lang w:val="nl-NL"/>
                          </w:rPr>
                        </w:pPr>
                      </w:p>
                    </w:tc>
                    <w:tc>
                      <w:tcPr>
                        <w:tcW w:w="420" w:type="dxa"/>
                        <w:tcBorders>
                          <w:top w:val="nil"/>
                          <w:left w:val="nil"/>
                          <w:bottom w:val="nil"/>
                          <w:right w:val="nil"/>
                        </w:tcBorders>
                        <w:shd w:val="clear" w:color="auto" w:fill="1F3864" w:themeFill="accent5" w:themeFillShade="80"/>
                      </w:tcPr>
                      <w:p w:rsidR="00C603C6" w:rsidRPr="005D3267" w:rsidP="0014663B" w14:paraId="19B5FE88" w14:textId="77777777">
                        <w:pPr>
                          <w:spacing w:before="60" w:after="60"/>
                          <w:rPr>
                            <w:rFonts w:ascii="Arial" w:eastAsia="Calibri" w:hAnsi="Arial" w:cs="Arial"/>
                            <w:sz w:val="16"/>
                            <w:szCs w:val="16"/>
                            <w:lang w:val="nl-NL"/>
                          </w:rPr>
                        </w:pPr>
                      </w:p>
                    </w:tc>
                  </w:tr>
                </w:tbl>
                <w:p w:rsidR="00C603C6" w:rsidRPr="00EE3C5B" w:rsidP="00516C09" w14:paraId="4D3942E3" w14:textId="54DC4F6C">
                  <w:pPr>
                    <w:spacing w:before="40" w:after="40"/>
                    <w:ind w:left="-64"/>
                    <w:jc w:val="both"/>
                    <w:rPr>
                      <w:sz w:val="20"/>
                      <w:szCs w:val="20"/>
                      <w:lang w:val="nl-NL"/>
                    </w:rPr>
                  </w:pPr>
                  <w:r w:rsidRPr="008C1174">
                    <w:rPr>
                      <w:sz w:val="20"/>
                      <w:szCs w:val="20"/>
                      <w:lang w:val="nl-NL"/>
                    </w:rPr>
                    <w:t>De samenvattende risico-indicator is een richtsnoer voor het risiconiveau van dit product ten opzichte van andere producten. De indicator laat zien hoe groot de kans is dat beleggers verliezen op het product wegens marktontwikkelingen of doordat er geen geld voor betaling is.</w:t>
                  </w:r>
                  <w:r>
                    <w:rPr>
                      <w:sz w:val="20"/>
                      <w:szCs w:val="20"/>
                      <w:lang w:val="nl-NL"/>
                    </w:rPr>
                    <w:t xml:space="preserve"> </w:t>
                  </w:r>
                  <w:r w:rsidRPr="008C1174">
                    <w:rPr>
                      <w:sz w:val="20"/>
                      <w:szCs w:val="20"/>
                      <w:lang w:val="nl-NL"/>
                    </w:rPr>
                    <w:t xml:space="preserve">We hebben dit product ingedeeld in klasse [6] uit 7; dat is </w:t>
                  </w:r>
                  <w:r>
                    <w:rPr>
                      <w:sz w:val="20"/>
                      <w:szCs w:val="20"/>
                      <w:lang w:val="nl-NL"/>
                    </w:rPr>
                    <w:t>[</w:t>
                  </w:r>
                  <w:r w:rsidRPr="008C1174">
                    <w:rPr>
                      <w:sz w:val="20"/>
                      <w:szCs w:val="20"/>
                      <w:lang w:val="nl-NL"/>
                    </w:rPr>
                    <w:t>de op één na hoogste</w:t>
                  </w:r>
                  <w:r>
                    <w:rPr>
                      <w:sz w:val="20"/>
                      <w:szCs w:val="20"/>
                      <w:lang w:val="nl-NL"/>
                    </w:rPr>
                    <w:t>]</w:t>
                  </w:r>
                  <w:r w:rsidRPr="008C1174">
                    <w:rPr>
                      <w:sz w:val="20"/>
                      <w:szCs w:val="20"/>
                      <w:lang w:val="nl-NL"/>
                    </w:rPr>
                    <w:t xml:space="preserve"> </w:t>
                  </w:r>
                  <w:r w:rsidRPr="00F65488">
                    <w:rPr>
                      <w:sz w:val="20"/>
                      <w:szCs w:val="20"/>
                      <w:lang w:val="nl-NL"/>
                    </w:rPr>
                    <w:t>risicoklasse.</w:t>
                  </w:r>
                  <w:r>
                    <w:rPr>
                      <w:rStyle w:val="EndnoteReference"/>
                      <w:sz w:val="20"/>
                      <w:szCs w:val="20"/>
                      <w:lang w:val="nl-NL"/>
                    </w:rPr>
                    <w:endnoteReference w:id="15"/>
                  </w:r>
                  <w:r w:rsidRPr="00F65488">
                    <w:rPr>
                      <w:sz w:val="20"/>
                      <w:szCs w:val="20"/>
                      <w:lang w:val="nl-NL"/>
                    </w:rPr>
                    <w:t xml:space="preserve"> Dat betekent dat de potentiële verliezen op toekomstige prestaties worden geschat als </w:t>
                  </w:r>
                  <w:r>
                    <w:rPr>
                      <w:sz w:val="20"/>
                      <w:szCs w:val="20"/>
                      <w:lang w:val="nl-NL"/>
                    </w:rPr>
                    <w:t>[</w:t>
                  </w:r>
                  <w:r w:rsidRPr="008C1174">
                    <w:rPr>
                      <w:sz w:val="20"/>
                      <w:szCs w:val="20"/>
                      <w:lang w:val="nl-NL"/>
                    </w:rPr>
                    <w:t>hoog</w:t>
                  </w:r>
                  <w:r>
                    <w:rPr>
                      <w:sz w:val="20"/>
                      <w:szCs w:val="20"/>
                      <w:lang w:val="nl-NL"/>
                    </w:rPr>
                    <w:t>]</w:t>
                  </w:r>
                  <w:r w:rsidRPr="008C1174">
                    <w:rPr>
                      <w:sz w:val="20"/>
                      <w:szCs w:val="20"/>
                      <w:lang w:val="nl-NL"/>
                    </w:rPr>
                    <w:t xml:space="preserve">, en dat de kans dat </w:t>
                  </w:r>
                  <w:r>
                    <w:rPr>
                      <w:sz w:val="20"/>
                      <w:szCs w:val="20"/>
                      <w:lang w:val="nl-NL"/>
                    </w:rPr>
                    <w:t xml:space="preserve">wij </w:t>
                  </w:r>
                  <w:r w:rsidRPr="008C1174">
                    <w:rPr>
                      <w:sz w:val="20"/>
                      <w:szCs w:val="20"/>
                      <w:lang w:val="nl-NL"/>
                    </w:rPr>
                    <w:t>u niet k</w:t>
                  </w:r>
                  <w:r>
                    <w:rPr>
                      <w:sz w:val="20"/>
                      <w:szCs w:val="20"/>
                      <w:lang w:val="nl-NL"/>
                    </w:rPr>
                    <w:t>unnen</w:t>
                  </w:r>
                  <w:r w:rsidRPr="008C1174">
                    <w:rPr>
                      <w:sz w:val="20"/>
                      <w:szCs w:val="20"/>
                      <w:lang w:val="nl-NL"/>
                    </w:rPr>
                    <w:t xml:space="preserve"> betalen wegens een slechte markt </w:t>
                  </w:r>
                  <w:r>
                    <w:rPr>
                      <w:sz w:val="20"/>
                      <w:szCs w:val="20"/>
                      <w:lang w:val="nl-NL"/>
                    </w:rPr>
                    <w:t>[</w:t>
                  </w:r>
                  <w:r w:rsidRPr="008C1174">
                    <w:rPr>
                      <w:sz w:val="20"/>
                      <w:szCs w:val="20"/>
                      <w:lang w:val="nl-NL"/>
                    </w:rPr>
                    <w:t>heel groot] is.</w:t>
                  </w:r>
                  <w:r>
                    <w:rPr>
                      <w:sz w:val="20"/>
                      <w:szCs w:val="20"/>
                      <w:lang w:val="nl-NL"/>
                    </w:rPr>
                    <w:t xml:space="preserve"> </w:t>
                  </w:r>
                  <w:bookmarkStart w:id="10" w:name="_Hlk37775781"/>
                  <w:r>
                    <w:rPr>
                      <w:rStyle w:val="EndnoteReference"/>
                      <w:sz w:val="20"/>
                      <w:szCs w:val="20"/>
                      <w:lang w:val="nl-NL"/>
                    </w:rPr>
                    <w:endnoteReference w:id="16"/>
                  </w:r>
                  <w:r w:rsidRPr="001A789F">
                    <w:rPr>
                      <w:sz w:val="20"/>
                      <w:szCs w:val="20"/>
                      <w:lang w:val="nl-NL"/>
                    </w:rPr>
                    <w:t xml:space="preserve"> </w:t>
                  </w:r>
                  <w:r>
                    <w:rPr>
                      <w:rStyle w:val="EndnoteReference"/>
                      <w:sz w:val="20"/>
                      <w:szCs w:val="20"/>
                      <w:lang w:val="nl-NL"/>
                    </w:rPr>
                    <w:endnoteReference w:id="17"/>
                  </w:r>
                  <w:r w:rsidRPr="001A789F">
                    <w:rPr>
                      <w:b/>
                      <w:bCs/>
                      <w:sz w:val="20"/>
                      <w:szCs w:val="20"/>
                      <w:lang w:val="nl-NL"/>
                    </w:rPr>
                    <w:t xml:space="preserve"> </w:t>
                  </w:r>
                  <w:bookmarkEnd w:id="10"/>
                  <w:r w:rsidRPr="008D061E">
                    <w:rPr>
                      <w:sz w:val="20"/>
                      <w:szCs w:val="20"/>
                      <w:lang w:val="nl-NL"/>
                    </w:rPr>
                    <w:t>Omdat dit product niet is beschermd tegen toekomstige marktprestaties, kunt u uw belegging geheel of gedeeltelijk verliezen</w:t>
                  </w:r>
                  <w:r>
                    <w:rPr>
                      <w:sz w:val="20"/>
                      <w:szCs w:val="20"/>
                      <w:lang w:val="nl-NL"/>
                    </w:rPr>
                    <w:t xml:space="preserve">. </w:t>
                  </w:r>
                  <w:r w:rsidRPr="008D061E">
                    <w:rPr>
                      <w:sz w:val="20"/>
                      <w:szCs w:val="20"/>
                      <w:lang w:val="nl-NL"/>
                    </w:rPr>
                    <w:t>Als wij u niet kunnen betalen wat u verschuldigd is, zou u uw gehele inleg kunnen verliezen</w:t>
                  </w:r>
                  <w:r>
                    <w:rPr>
                      <w:sz w:val="20"/>
                      <w:szCs w:val="20"/>
                      <w:lang w:val="nl-NL"/>
                    </w:rPr>
                    <w:t>.</w:t>
                  </w:r>
                </w:p>
              </w:tc>
            </w:tr>
            <w:tr w14:paraId="69359F85" w14:textId="77777777" w:rsidTr="00B553E2">
              <w:tblPrEx>
                <w:tblW w:w="0" w:type="auto"/>
                <w:tblLook w:val="04A0"/>
              </w:tblPrEx>
              <w:tc>
                <w:tcPr>
                  <w:tcW w:w="9820" w:type="dxa"/>
                </w:tcPr>
                <w:p w:rsidR="00516C09" w:rsidRPr="00D0778B" w:rsidP="00D0778B" w14:paraId="5CD818A0" w14:textId="50ACF5CE">
                  <w:pPr>
                    <w:spacing w:before="40" w:after="40"/>
                    <w:ind w:left="-64"/>
                    <w:jc w:val="center"/>
                    <w:rPr>
                      <w:b/>
                      <w:bCs/>
                      <w:i/>
                      <w:iCs/>
                      <w:sz w:val="20"/>
                      <w:szCs w:val="20"/>
                      <w:lang w:val="nl-NL"/>
                    </w:rPr>
                  </w:pPr>
                  <w:r w:rsidRPr="00D0778B">
                    <w:rPr>
                      <w:b/>
                      <w:bCs/>
                      <w:i/>
                      <w:iCs/>
                      <w:sz w:val="20"/>
                      <w:szCs w:val="20"/>
                      <w:lang w:val="nl-NL"/>
                    </w:rPr>
                    <w:t>Prestatiescenario’s</w:t>
                  </w:r>
                </w:p>
              </w:tc>
            </w:tr>
            <w:tr w14:paraId="06F4B45A" w14:textId="77777777" w:rsidTr="00895CC9">
              <w:tblPrEx>
                <w:tblW w:w="0" w:type="auto"/>
                <w:tblLook w:val="04A0"/>
              </w:tblPrEx>
              <w:tc>
                <w:tcPr>
                  <w:tcW w:w="9820" w:type="dxa"/>
                </w:tcPr>
                <w:p w:rsidR="00516C09" w:rsidP="00516C09" w14:paraId="0E4EAE34" w14:textId="12A5CD3B">
                  <w:pPr>
                    <w:spacing w:before="40" w:after="40"/>
                    <w:ind w:left="-64"/>
                    <w:jc w:val="both"/>
                    <w:rPr>
                      <w:sz w:val="20"/>
                      <w:szCs w:val="20"/>
                      <w:lang w:val="nl-NL"/>
                    </w:rPr>
                  </w:pPr>
                  <w:r w:rsidRPr="00CE4E33">
                    <w:rPr>
                      <w:sz w:val="20"/>
                      <w:szCs w:val="20"/>
                      <w:lang w:val="nl-NL"/>
                    </w:rPr>
                    <w:t>Wat u bij dit product ontvangt, hangt af van de toekomstige marktprestaties. De marktontwikkelingen in de toekomst zijn onzeker en kunnen niet nauwkeurig worden voorspeld.</w:t>
                  </w:r>
                  <w:r>
                    <w:rPr>
                      <w:rStyle w:val="EndnoteReference"/>
                      <w:sz w:val="20"/>
                      <w:szCs w:val="20"/>
                      <w:lang w:val="nl-NL"/>
                    </w:rPr>
                    <w:endnoteReference w:id="18"/>
                  </w:r>
                  <w:r w:rsidR="00D0778B">
                    <w:rPr>
                      <w:sz w:val="20"/>
                      <w:szCs w:val="20"/>
                      <w:lang w:val="nl-NL"/>
                    </w:rPr>
                    <w:t xml:space="preserve"> </w:t>
                  </w:r>
                  <w:r w:rsidRPr="00FC43DF">
                    <w:rPr>
                      <w:sz w:val="20"/>
                      <w:szCs w:val="20"/>
                      <w:lang w:val="nl-NL"/>
                    </w:rPr>
                    <w:t>De weergegeven scenario’s zijn illustraties op basis van prestaties in het verleden en bepaalde aannamen. De markten kunnen zich in de toekomst heel anders ontwikkelen</w:t>
                  </w:r>
                  <w:r>
                    <w:rPr>
                      <w:sz w:val="20"/>
                      <w:szCs w:val="20"/>
                      <w:lang w:val="nl-NL"/>
                    </w:rPr>
                    <w:t>.</w:t>
                  </w:r>
                  <w:r>
                    <w:rPr>
                      <w:rStyle w:val="EndnoteReference"/>
                      <w:sz w:val="20"/>
                      <w:szCs w:val="20"/>
                      <w:lang w:val="nl-NL"/>
                    </w:rPr>
                    <w:endnoteReference w:id="19"/>
                  </w:r>
                </w:p>
                <w:tbl>
                  <w:tblPr>
                    <w:tblW w:w="9563"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755"/>
                    <w:gridCol w:w="4152"/>
                    <w:gridCol w:w="1028"/>
                    <w:gridCol w:w="1482"/>
                    <w:gridCol w:w="1146"/>
                  </w:tblGrid>
                  <w:tr w14:paraId="327E255D" w14:textId="77777777" w:rsidTr="004142DE">
                    <w:tblPrEx>
                      <w:tblW w:w="9563"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Ex>
                    <w:trPr>
                      <w:jc w:val="center"/>
                    </w:trPr>
                    <w:tc>
                      <w:tcPr>
                        <w:tcW w:w="5907" w:type="dxa"/>
                        <w:gridSpan w:val="2"/>
                        <w:tcBorders>
                          <w:top w:val="outset" w:sz="6" w:space="0" w:color="auto"/>
                          <w:left w:val="outset" w:sz="6" w:space="0" w:color="auto"/>
                          <w:bottom w:val="outset" w:sz="6" w:space="0" w:color="auto"/>
                          <w:right w:val="outset" w:sz="6" w:space="0" w:color="auto"/>
                        </w:tcBorders>
                        <w:shd w:val="clear" w:color="auto" w:fill="323E4F"/>
                        <w:hideMark/>
                      </w:tcPr>
                      <w:p w:rsidR="00516C09" w:rsidRPr="004142DE" w:rsidP="00612437" w14:paraId="3B6DD3E7" w14:textId="77777777">
                        <w:pPr>
                          <w:spacing w:after="0"/>
                          <w:jc w:val="both"/>
                          <w:rPr>
                            <w:rFonts w:ascii="Arial" w:eastAsia="Calibri" w:hAnsi="Arial" w:cs="Arial"/>
                            <w:b/>
                            <w:bCs/>
                            <w:color w:val="FFFFFF" w:themeColor="background1"/>
                            <w:sz w:val="16"/>
                            <w:szCs w:val="16"/>
                            <w:lang w:val="nl-NL"/>
                          </w:rPr>
                        </w:pPr>
                        <w:r w:rsidRPr="004142DE">
                          <w:rPr>
                            <w:rFonts w:ascii="Arial" w:eastAsia="Calibri" w:hAnsi="Arial" w:cs="Arial"/>
                            <w:b/>
                            <w:bCs/>
                            <w:color w:val="FFFFFF" w:themeColor="background1"/>
                            <w:sz w:val="16"/>
                            <w:szCs w:val="16"/>
                            <w:lang w:val="nl-NL"/>
                          </w:rPr>
                          <w:t>Aanbevolen periode van bezit:</w:t>
                        </w:r>
                      </w:p>
                    </w:tc>
                    <w:tc>
                      <w:tcPr>
                        <w:tcW w:w="3656" w:type="dxa"/>
                        <w:gridSpan w:val="3"/>
                        <w:tcBorders>
                          <w:top w:val="outset" w:sz="6" w:space="0" w:color="auto"/>
                          <w:left w:val="outset" w:sz="6" w:space="0" w:color="auto"/>
                          <w:bottom w:val="outset" w:sz="6" w:space="0" w:color="auto"/>
                          <w:right w:val="outset" w:sz="6" w:space="0" w:color="auto"/>
                        </w:tcBorders>
                        <w:shd w:val="clear" w:color="auto" w:fill="323E4F"/>
                        <w:hideMark/>
                      </w:tcPr>
                      <w:p w:rsidR="00516C09" w:rsidRPr="004142DE" w:rsidP="00612437" w14:paraId="7F672187" w14:textId="4F8CC422">
                        <w:pPr>
                          <w:spacing w:after="0"/>
                          <w:jc w:val="both"/>
                          <w:rPr>
                            <w:rFonts w:ascii="Arial" w:eastAsia="Calibri" w:hAnsi="Arial" w:cs="Arial"/>
                            <w:b/>
                            <w:bCs/>
                            <w:color w:val="FFFFFF" w:themeColor="background1"/>
                            <w:sz w:val="16"/>
                            <w:szCs w:val="16"/>
                            <w:lang w:val="nl-NL"/>
                          </w:rPr>
                        </w:pPr>
                        <w:r w:rsidRPr="004142DE">
                          <w:rPr>
                            <w:rFonts w:ascii="Arial" w:eastAsia="Calibri" w:hAnsi="Arial" w:cs="Arial"/>
                            <w:b/>
                            <w:bCs/>
                            <w:color w:val="FFFFFF" w:themeColor="background1"/>
                            <w:sz w:val="16"/>
                            <w:szCs w:val="16"/>
                            <w:lang w:val="nl-NL"/>
                          </w:rPr>
                          <w:t>[10] jaar</w:t>
                        </w:r>
                      </w:p>
                    </w:tc>
                  </w:tr>
                  <w:tr w14:paraId="6DAA039F" w14:textId="77777777" w:rsidTr="004142DE">
                    <w:tblPrEx>
                      <w:tblW w:w="9563" w:type="dxa"/>
                      <w:jc w:val="center"/>
                      <w:tblCellMar>
                        <w:top w:w="30" w:type="dxa"/>
                        <w:left w:w="30" w:type="dxa"/>
                        <w:bottom w:w="30" w:type="dxa"/>
                        <w:right w:w="30" w:type="dxa"/>
                      </w:tblCellMar>
                      <w:tblLook w:val="04A0"/>
                    </w:tblPrEx>
                    <w:trPr>
                      <w:jc w:val="center"/>
                    </w:trPr>
                    <w:tc>
                      <w:tcPr>
                        <w:tcW w:w="5907" w:type="dxa"/>
                        <w:gridSpan w:val="2"/>
                        <w:tcBorders>
                          <w:top w:val="outset" w:sz="6" w:space="0" w:color="auto"/>
                          <w:left w:val="outset" w:sz="6" w:space="0" w:color="auto"/>
                          <w:bottom w:val="outset" w:sz="6" w:space="0" w:color="auto"/>
                          <w:right w:val="outset" w:sz="6" w:space="0" w:color="auto"/>
                        </w:tcBorders>
                        <w:shd w:val="clear" w:color="auto" w:fill="323E4F"/>
                        <w:hideMark/>
                      </w:tcPr>
                      <w:p w:rsidR="00516C09" w:rsidRPr="004142DE" w:rsidP="00612437" w14:paraId="2C6C3B3A" w14:textId="77777777">
                        <w:pPr>
                          <w:spacing w:after="0"/>
                          <w:jc w:val="both"/>
                          <w:rPr>
                            <w:rFonts w:ascii="Arial" w:eastAsia="Calibri" w:hAnsi="Arial" w:cs="Arial"/>
                            <w:b/>
                            <w:bCs/>
                            <w:color w:val="FFFFFF" w:themeColor="background1"/>
                            <w:sz w:val="16"/>
                            <w:szCs w:val="16"/>
                            <w:lang w:val="nl-NL"/>
                          </w:rPr>
                        </w:pPr>
                        <w:r w:rsidRPr="004142DE">
                          <w:rPr>
                            <w:rFonts w:ascii="Arial" w:eastAsia="Calibri" w:hAnsi="Arial" w:cs="Arial"/>
                            <w:b/>
                            <w:bCs/>
                            <w:color w:val="FFFFFF" w:themeColor="background1"/>
                            <w:sz w:val="16"/>
                            <w:szCs w:val="16"/>
                            <w:lang w:val="nl-NL"/>
                          </w:rPr>
                          <w:t>Voorbeeld belegging:</w:t>
                        </w:r>
                      </w:p>
                    </w:tc>
                    <w:tc>
                      <w:tcPr>
                        <w:tcW w:w="3656" w:type="dxa"/>
                        <w:gridSpan w:val="3"/>
                        <w:tcBorders>
                          <w:top w:val="outset" w:sz="6" w:space="0" w:color="auto"/>
                          <w:left w:val="outset" w:sz="6" w:space="0" w:color="auto"/>
                          <w:bottom w:val="outset" w:sz="6" w:space="0" w:color="auto"/>
                          <w:right w:val="outset" w:sz="6" w:space="0" w:color="auto"/>
                        </w:tcBorders>
                        <w:shd w:val="clear" w:color="auto" w:fill="323E4F"/>
                        <w:hideMark/>
                      </w:tcPr>
                      <w:p w:rsidR="00516C09" w:rsidRPr="004142DE" w:rsidP="00612437" w14:paraId="4F28DCC3" w14:textId="6BCEA610">
                        <w:pPr>
                          <w:spacing w:after="0"/>
                          <w:jc w:val="both"/>
                          <w:rPr>
                            <w:rFonts w:ascii="Arial" w:eastAsia="Calibri" w:hAnsi="Arial" w:cs="Arial"/>
                            <w:b/>
                            <w:bCs/>
                            <w:color w:val="FFFFFF" w:themeColor="background1"/>
                            <w:sz w:val="16"/>
                            <w:szCs w:val="16"/>
                            <w:lang w:val="nl-NL"/>
                          </w:rPr>
                        </w:pPr>
                        <w:r w:rsidRPr="004142DE">
                          <w:rPr>
                            <w:rFonts w:ascii="Arial" w:eastAsia="Calibri" w:hAnsi="Arial" w:cs="Arial"/>
                            <w:b/>
                            <w:bCs/>
                            <w:color w:val="FFFFFF" w:themeColor="background1"/>
                            <w:sz w:val="16"/>
                            <w:szCs w:val="16"/>
                            <w:lang w:val="nl-NL"/>
                          </w:rPr>
                          <w:t xml:space="preserve"> </w:t>
                        </w:r>
                        <w:r w:rsidRPr="004142DE">
                          <w:rPr>
                            <w:rFonts w:ascii="Arial" w:eastAsia="Times New Roman" w:hAnsi="Arial" w:cs="Arial"/>
                            <w:color w:val="FFFFFF" w:themeColor="background1"/>
                            <w:sz w:val="16"/>
                            <w:szCs w:val="16"/>
                            <w:lang w:val="nl-NL" w:eastAsia="nl-NL"/>
                          </w:rPr>
                          <w:t>€[</w:t>
                        </w:r>
                        <w:r w:rsidRPr="004142DE">
                          <w:rPr>
                            <w:rFonts w:ascii="Arial" w:eastAsia="Calibri" w:hAnsi="Arial" w:cs="Arial"/>
                            <w:b/>
                            <w:bCs/>
                            <w:color w:val="FFFFFF" w:themeColor="background1"/>
                            <w:sz w:val="16"/>
                            <w:szCs w:val="16"/>
                            <w:lang w:val="nl-NL"/>
                          </w:rPr>
                          <w:t>10.000]</w:t>
                        </w:r>
                      </w:p>
                    </w:tc>
                  </w:tr>
                  <w:tr w14:paraId="348DD262" w14:textId="77777777" w:rsidTr="004142DE">
                    <w:tblPrEx>
                      <w:tblW w:w="9563" w:type="dxa"/>
                      <w:jc w:val="center"/>
                      <w:tblCellMar>
                        <w:top w:w="30" w:type="dxa"/>
                        <w:left w:w="30" w:type="dxa"/>
                        <w:bottom w:w="30" w:type="dxa"/>
                        <w:right w:w="30" w:type="dxa"/>
                      </w:tblCellMar>
                      <w:tblLook w:val="04A0"/>
                    </w:tblPrEx>
                    <w:trPr>
                      <w:jc w:val="center"/>
                    </w:trPr>
                    <w:tc>
                      <w:tcPr>
                        <w:tcW w:w="5907" w:type="dxa"/>
                        <w:gridSpan w:val="2"/>
                        <w:vMerge w:val="restart"/>
                        <w:tcBorders>
                          <w:top w:val="outset" w:sz="6" w:space="0" w:color="auto"/>
                          <w:left w:val="outset" w:sz="6" w:space="0" w:color="auto"/>
                          <w:bottom w:val="outset" w:sz="6" w:space="0" w:color="auto"/>
                          <w:right w:val="outset" w:sz="6" w:space="0" w:color="auto"/>
                        </w:tcBorders>
                        <w:shd w:val="clear" w:color="auto" w:fill="323E4F"/>
                        <w:hideMark/>
                      </w:tcPr>
                      <w:p w:rsidR="00516C09" w:rsidRPr="004142DE" w:rsidP="00612437" w14:paraId="2E59E259" w14:textId="77777777">
                        <w:pPr>
                          <w:spacing w:after="0"/>
                          <w:jc w:val="both"/>
                          <w:rPr>
                            <w:rFonts w:ascii="Arial" w:eastAsia="Calibri" w:hAnsi="Arial" w:cs="Arial"/>
                            <w:b/>
                            <w:bCs/>
                            <w:color w:val="FFFFFF" w:themeColor="background1"/>
                            <w:sz w:val="16"/>
                            <w:szCs w:val="16"/>
                            <w:lang w:val="nl-NL"/>
                          </w:rPr>
                        </w:pPr>
                        <w:r w:rsidRPr="004142DE">
                          <w:rPr>
                            <w:rFonts w:ascii="Arial" w:eastAsia="Calibri" w:hAnsi="Arial" w:cs="Arial"/>
                            <w:b/>
                            <w:bCs/>
                            <w:color w:val="FFFFFF" w:themeColor="background1"/>
                            <w:sz w:val="16"/>
                            <w:szCs w:val="16"/>
                            <w:lang w:val="nl-NL"/>
                          </w:rPr>
                          <w:t> </w:t>
                        </w:r>
                      </w:p>
                    </w:tc>
                    <w:tc>
                      <w:tcPr>
                        <w:tcW w:w="3656" w:type="dxa"/>
                        <w:gridSpan w:val="3"/>
                        <w:tcBorders>
                          <w:top w:val="outset" w:sz="6" w:space="0" w:color="auto"/>
                          <w:left w:val="outset" w:sz="6" w:space="0" w:color="auto"/>
                          <w:bottom w:val="outset" w:sz="6" w:space="0" w:color="auto"/>
                          <w:right w:val="outset" w:sz="6" w:space="0" w:color="auto"/>
                        </w:tcBorders>
                        <w:shd w:val="clear" w:color="auto" w:fill="323E4F"/>
                        <w:hideMark/>
                      </w:tcPr>
                      <w:p w:rsidR="00516C09" w:rsidRPr="004142DE" w:rsidP="00612437" w14:paraId="494D4646" w14:textId="6BE7C233">
                        <w:pPr>
                          <w:spacing w:after="0"/>
                          <w:jc w:val="center"/>
                          <w:rPr>
                            <w:rFonts w:ascii="Arial" w:eastAsia="Calibri" w:hAnsi="Arial" w:cs="Arial"/>
                            <w:b/>
                            <w:bCs/>
                            <w:color w:val="FFFFFF" w:themeColor="background1"/>
                            <w:sz w:val="16"/>
                            <w:szCs w:val="16"/>
                            <w:lang w:val="nl-NL"/>
                          </w:rPr>
                        </w:pPr>
                        <w:r w:rsidRPr="004142DE">
                          <w:rPr>
                            <w:rFonts w:ascii="Arial" w:eastAsia="Calibri" w:hAnsi="Arial" w:cs="Arial"/>
                            <w:b/>
                            <w:bCs/>
                            <w:color w:val="FFFFFF" w:themeColor="background1"/>
                            <w:sz w:val="16"/>
                            <w:szCs w:val="16"/>
                            <w:lang w:val="nl-NL"/>
                          </w:rPr>
                          <w:t>Als u uitstapt na:</w:t>
                        </w:r>
                        <w:r>
                          <w:rPr>
                            <w:rStyle w:val="EndnoteReference"/>
                            <w:rFonts w:ascii="Arial" w:eastAsia="Calibri" w:hAnsi="Arial" w:cs="Arial"/>
                            <w:b/>
                            <w:bCs/>
                            <w:color w:val="FFFFFF" w:themeColor="background1"/>
                            <w:sz w:val="16"/>
                            <w:szCs w:val="16"/>
                            <w:lang w:val="nl-NL"/>
                          </w:rPr>
                          <w:endnoteReference w:id="20"/>
                        </w:r>
                      </w:p>
                    </w:tc>
                  </w:tr>
                  <w:tr w14:paraId="3947FE83" w14:textId="77777777" w:rsidTr="004142DE">
                    <w:tblPrEx>
                      <w:tblW w:w="9563" w:type="dxa"/>
                      <w:jc w:val="center"/>
                      <w:tblCellMar>
                        <w:top w:w="30" w:type="dxa"/>
                        <w:left w:w="30" w:type="dxa"/>
                        <w:bottom w:w="30" w:type="dxa"/>
                        <w:right w:w="30" w:type="dxa"/>
                      </w:tblCellMar>
                      <w:tblLook w:val="04A0"/>
                    </w:tblPrEx>
                    <w:trPr>
                      <w:jc w:val="center"/>
                    </w:trPr>
                    <w:tc>
                      <w:tcPr>
                        <w:tcW w:w="5907" w:type="dxa"/>
                        <w:gridSpan w:val="2"/>
                        <w:vMerge/>
                        <w:tcBorders>
                          <w:top w:val="outset" w:sz="6" w:space="0" w:color="auto"/>
                          <w:left w:val="outset" w:sz="6" w:space="0" w:color="auto"/>
                          <w:bottom w:val="outset" w:sz="6" w:space="0" w:color="auto"/>
                          <w:right w:val="outset" w:sz="6" w:space="0" w:color="auto"/>
                        </w:tcBorders>
                        <w:shd w:val="clear" w:color="auto" w:fill="323E4F"/>
                      </w:tcPr>
                      <w:p w:rsidR="00516C09" w:rsidRPr="004142DE" w:rsidP="00612437" w14:paraId="3FCCC31B" w14:textId="77777777">
                        <w:pPr>
                          <w:spacing w:after="0"/>
                          <w:jc w:val="both"/>
                          <w:rPr>
                            <w:rFonts w:ascii="Arial" w:eastAsia="Calibri" w:hAnsi="Arial" w:cs="Arial"/>
                            <w:b/>
                            <w:bCs/>
                            <w:color w:val="FFFFFF" w:themeColor="background1"/>
                            <w:sz w:val="16"/>
                            <w:szCs w:val="16"/>
                            <w:lang w:val="nl-NL"/>
                          </w:rPr>
                        </w:pPr>
                      </w:p>
                    </w:tc>
                    <w:tc>
                      <w:tcPr>
                        <w:tcW w:w="1028" w:type="dxa"/>
                        <w:tcBorders>
                          <w:top w:val="outset" w:sz="6" w:space="0" w:color="auto"/>
                          <w:left w:val="outset" w:sz="6" w:space="0" w:color="auto"/>
                          <w:bottom w:val="outset" w:sz="6" w:space="0" w:color="auto"/>
                          <w:right w:val="outset" w:sz="6" w:space="0" w:color="auto"/>
                        </w:tcBorders>
                        <w:shd w:val="clear" w:color="auto" w:fill="323E4F"/>
                      </w:tcPr>
                      <w:p w:rsidR="00516C09" w:rsidRPr="004142DE" w:rsidP="00612437" w14:paraId="2D65C3EB" w14:textId="77777777">
                        <w:pPr>
                          <w:spacing w:after="0"/>
                          <w:jc w:val="center"/>
                          <w:rPr>
                            <w:rFonts w:ascii="Arial" w:eastAsia="Calibri" w:hAnsi="Arial" w:cs="Arial"/>
                            <w:b/>
                            <w:bCs/>
                            <w:color w:val="FFFFFF" w:themeColor="background1"/>
                            <w:sz w:val="16"/>
                            <w:szCs w:val="16"/>
                            <w:lang w:val="nl-NL"/>
                          </w:rPr>
                        </w:pPr>
                        <w:r w:rsidRPr="004142DE">
                          <w:rPr>
                            <w:rFonts w:ascii="Arial" w:eastAsia="Calibri" w:hAnsi="Arial" w:cs="Arial"/>
                            <w:b/>
                            <w:bCs/>
                            <w:color w:val="FFFFFF" w:themeColor="background1"/>
                            <w:sz w:val="16"/>
                            <w:szCs w:val="16"/>
                            <w:lang w:val="nl-NL"/>
                          </w:rPr>
                          <w:t>1 jaar</w:t>
                        </w:r>
                      </w:p>
                    </w:tc>
                    <w:tc>
                      <w:tcPr>
                        <w:tcW w:w="1482" w:type="dxa"/>
                        <w:tcBorders>
                          <w:top w:val="outset" w:sz="6" w:space="0" w:color="auto"/>
                          <w:left w:val="outset" w:sz="6" w:space="0" w:color="auto"/>
                          <w:bottom w:val="outset" w:sz="6" w:space="0" w:color="auto"/>
                          <w:right w:val="outset" w:sz="6" w:space="0" w:color="auto"/>
                        </w:tcBorders>
                        <w:shd w:val="clear" w:color="auto" w:fill="323E4F"/>
                      </w:tcPr>
                      <w:p w:rsidR="00516C09" w:rsidRPr="004142DE" w:rsidP="00612437" w14:paraId="3419D16F" w14:textId="25D81B07">
                        <w:pPr>
                          <w:spacing w:after="0"/>
                          <w:jc w:val="center"/>
                          <w:rPr>
                            <w:rFonts w:ascii="Arial" w:eastAsia="Calibri" w:hAnsi="Arial" w:cs="Arial"/>
                            <w:b/>
                            <w:bCs/>
                            <w:color w:val="FFFFFF" w:themeColor="background1"/>
                            <w:sz w:val="16"/>
                            <w:szCs w:val="16"/>
                            <w:lang w:val="nl-NL"/>
                          </w:rPr>
                        </w:pPr>
                        <w:r w:rsidRPr="004142DE">
                          <w:rPr>
                            <w:rFonts w:ascii="Arial" w:eastAsia="Calibri" w:hAnsi="Arial" w:cs="Arial"/>
                            <w:b/>
                            <w:bCs/>
                            <w:color w:val="FFFFFF" w:themeColor="background1"/>
                            <w:sz w:val="16"/>
                            <w:szCs w:val="16"/>
                            <w:lang w:val="nl-NL"/>
                          </w:rPr>
                          <w:t>[5] jaar</w:t>
                        </w:r>
                        <w:r>
                          <w:rPr>
                            <w:rStyle w:val="EndnoteReference"/>
                            <w:rFonts w:ascii="Arial" w:eastAsia="Calibri" w:hAnsi="Arial" w:cs="Arial"/>
                            <w:b/>
                            <w:bCs/>
                            <w:color w:val="FFFFFF" w:themeColor="background1"/>
                            <w:sz w:val="16"/>
                            <w:szCs w:val="16"/>
                            <w:lang w:val="nl-NL"/>
                          </w:rPr>
                          <w:endnoteReference w:id="21"/>
                        </w:r>
                      </w:p>
                    </w:tc>
                    <w:tc>
                      <w:tcPr>
                        <w:tcW w:w="1146" w:type="dxa"/>
                        <w:tcBorders>
                          <w:top w:val="outset" w:sz="6" w:space="0" w:color="auto"/>
                          <w:left w:val="outset" w:sz="6" w:space="0" w:color="auto"/>
                          <w:bottom w:val="outset" w:sz="6" w:space="0" w:color="auto"/>
                          <w:right w:val="outset" w:sz="6" w:space="0" w:color="auto"/>
                        </w:tcBorders>
                        <w:shd w:val="clear" w:color="auto" w:fill="323E4F"/>
                      </w:tcPr>
                      <w:p w:rsidR="00516C09" w:rsidRPr="004142DE" w:rsidP="00612437" w14:paraId="5D84589A" w14:textId="258C0F2A">
                        <w:pPr>
                          <w:spacing w:after="0"/>
                          <w:jc w:val="center"/>
                          <w:rPr>
                            <w:rFonts w:ascii="Arial" w:eastAsia="Calibri" w:hAnsi="Arial" w:cs="Arial"/>
                            <w:b/>
                            <w:bCs/>
                            <w:color w:val="FFFFFF" w:themeColor="background1"/>
                            <w:sz w:val="16"/>
                            <w:szCs w:val="16"/>
                            <w:lang w:val="nl-NL"/>
                          </w:rPr>
                        </w:pPr>
                        <w:r w:rsidRPr="004142DE">
                          <w:rPr>
                            <w:rFonts w:ascii="Arial" w:eastAsia="Calibri" w:hAnsi="Arial" w:cs="Arial"/>
                            <w:b/>
                            <w:bCs/>
                            <w:color w:val="FFFFFF" w:themeColor="background1"/>
                            <w:sz w:val="16"/>
                            <w:szCs w:val="16"/>
                            <w:lang w:val="nl-NL"/>
                          </w:rPr>
                          <w:t>[10] jaar</w:t>
                        </w:r>
                        <w:r>
                          <w:rPr>
                            <w:rStyle w:val="EndnoteReference"/>
                            <w:rFonts w:ascii="Arial" w:eastAsia="Calibri" w:hAnsi="Arial" w:cs="Arial"/>
                            <w:b/>
                            <w:bCs/>
                            <w:color w:val="FFFFFF" w:themeColor="background1"/>
                            <w:sz w:val="16"/>
                            <w:szCs w:val="16"/>
                            <w:lang w:val="nl-NL"/>
                          </w:rPr>
                          <w:endnoteReference w:id="22"/>
                        </w:r>
                      </w:p>
                    </w:tc>
                  </w:tr>
                  <w:tr w14:paraId="68A8DC9B" w14:textId="77777777" w:rsidTr="004142DE">
                    <w:tblPrEx>
                      <w:tblW w:w="9563" w:type="dxa"/>
                      <w:jc w:val="center"/>
                      <w:tblCellMar>
                        <w:top w:w="30" w:type="dxa"/>
                        <w:left w:w="30" w:type="dxa"/>
                        <w:bottom w:w="30" w:type="dxa"/>
                        <w:right w:w="30" w:type="dxa"/>
                      </w:tblCellMar>
                      <w:tblLook w:val="04A0"/>
                    </w:tblPrEx>
                    <w:trPr>
                      <w:jc w:val="center"/>
                    </w:trPr>
                    <w:tc>
                      <w:tcPr>
                        <w:tcW w:w="9563" w:type="dxa"/>
                        <w:gridSpan w:val="5"/>
                        <w:tcBorders>
                          <w:top w:val="outset" w:sz="6" w:space="0" w:color="auto"/>
                          <w:left w:val="outset" w:sz="6" w:space="0" w:color="auto"/>
                          <w:bottom w:val="outset" w:sz="6" w:space="0" w:color="auto"/>
                          <w:right w:val="outset" w:sz="6" w:space="0" w:color="auto"/>
                        </w:tcBorders>
                        <w:shd w:val="clear" w:color="auto" w:fill="323E4F"/>
                        <w:hideMark/>
                      </w:tcPr>
                      <w:p w:rsidR="00516C09" w:rsidRPr="004142DE" w:rsidP="00612437" w14:paraId="19FBB704" w14:textId="256F3697">
                        <w:pPr>
                          <w:spacing w:after="0"/>
                          <w:jc w:val="both"/>
                          <w:rPr>
                            <w:rFonts w:ascii="Arial" w:eastAsia="Calibri" w:hAnsi="Arial" w:cs="Arial"/>
                            <w:color w:val="FFFFFF" w:themeColor="background1"/>
                            <w:sz w:val="16"/>
                            <w:szCs w:val="16"/>
                            <w:lang w:val="nl-NL"/>
                          </w:rPr>
                        </w:pPr>
                        <w:r w:rsidRPr="004142DE">
                          <w:rPr>
                            <w:rFonts w:ascii="Arial" w:eastAsia="Calibri" w:hAnsi="Arial" w:cs="Arial"/>
                            <w:b/>
                            <w:bCs/>
                            <w:color w:val="FFFFFF" w:themeColor="background1"/>
                            <w:sz w:val="16"/>
                            <w:szCs w:val="16"/>
                            <w:lang w:val="nl-NL"/>
                          </w:rPr>
                          <w:t>Scenario’s</w:t>
                        </w:r>
                        <w:r>
                          <w:rPr>
                            <w:rStyle w:val="EndnoteReference"/>
                            <w:rFonts w:ascii="Arial" w:eastAsia="Calibri" w:hAnsi="Arial" w:cs="Arial"/>
                            <w:b/>
                            <w:bCs/>
                            <w:color w:val="FFFFFF" w:themeColor="background1"/>
                            <w:sz w:val="16"/>
                            <w:szCs w:val="16"/>
                            <w:lang w:val="nl-NL"/>
                          </w:rPr>
                          <w:endnoteReference w:id="23"/>
                        </w:r>
                      </w:p>
                    </w:tc>
                  </w:tr>
                  <w:tr w14:paraId="3D1B8B36" w14:textId="77777777" w:rsidTr="004142DE">
                    <w:tblPrEx>
                      <w:tblW w:w="9563" w:type="dxa"/>
                      <w:jc w:val="center"/>
                      <w:tblCellMar>
                        <w:top w:w="30" w:type="dxa"/>
                        <w:left w:w="30" w:type="dxa"/>
                        <w:bottom w:w="30" w:type="dxa"/>
                        <w:right w:w="30" w:type="dxa"/>
                      </w:tblCellMar>
                      <w:tblLook w:val="04A0"/>
                    </w:tblPrEx>
                    <w:trPr>
                      <w:jc w:val="center"/>
                    </w:trPr>
                    <w:tc>
                      <w:tcPr>
                        <w:tcW w:w="1755" w:type="dxa"/>
                        <w:tcBorders>
                          <w:top w:val="outset" w:sz="6" w:space="0" w:color="auto"/>
                          <w:left w:val="outset" w:sz="6" w:space="0" w:color="auto"/>
                          <w:bottom w:val="outset" w:sz="6" w:space="0" w:color="auto"/>
                          <w:right w:val="outset" w:sz="6" w:space="0" w:color="auto"/>
                        </w:tcBorders>
                        <w:shd w:val="clear" w:color="auto" w:fill="A3DAFF"/>
                        <w:hideMark/>
                      </w:tcPr>
                      <w:p w:rsidR="00516C09" w:rsidRPr="00612437" w:rsidP="00612437" w14:paraId="31242371" w14:textId="77777777">
                        <w:pPr>
                          <w:spacing w:after="0"/>
                          <w:jc w:val="both"/>
                          <w:rPr>
                            <w:rFonts w:ascii="Arial" w:eastAsia="Calibri" w:hAnsi="Arial" w:cs="Arial"/>
                            <w:sz w:val="16"/>
                            <w:szCs w:val="16"/>
                            <w:lang w:val="nl-NL"/>
                          </w:rPr>
                        </w:pPr>
                        <w:r w:rsidRPr="00612437">
                          <w:rPr>
                            <w:rFonts w:ascii="Arial" w:eastAsia="Calibri" w:hAnsi="Arial" w:cs="Arial"/>
                            <w:b/>
                            <w:bCs/>
                            <w:sz w:val="16"/>
                            <w:szCs w:val="16"/>
                            <w:lang w:val="nl-NL"/>
                          </w:rPr>
                          <w:t>Minimaal</w:t>
                        </w:r>
                      </w:p>
                    </w:tc>
                    <w:tc>
                      <w:tcPr>
                        <w:tcW w:w="7808" w:type="dxa"/>
                        <w:gridSpan w:val="4"/>
                        <w:tcBorders>
                          <w:top w:val="outset" w:sz="6" w:space="0" w:color="auto"/>
                          <w:left w:val="outset" w:sz="6" w:space="0" w:color="auto"/>
                          <w:bottom w:val="outset" w:sz="6" w:space="0" w:color="auto"/>
                          <w:right w:val="outset" w:sz="6" w:space="0" w:color="auto"/>
                        </w:tcBorders>
                        <w:shd w:val="clear" w:color="auto" w:fill="A3DAFF"/>
                        <w:hideMark/>
                      </w:tcPr>
                      <w:p w:rsidR="00516C09" w:rsidRPr="00612437" w:rsidP="00612437" w14:paraId="52706690" w14:textId="77777777">
                        <w:pPr>
                          <w:spacing w:after="0"/>
                          <w:jc w:val="both"/>
                          <w:rPr>
                            <w:rFonts w:ascii="Arial" w:eastAsia="Calibri" w:hAnsi="Arial" w:cs="Arial"/>
                            <w:sz w:val="16"/>
                            <w:szCs w:val="16"/>
                            <w:lang w:val="nl-NL"/>
                          </w:rPr>
                        </w:pPr>
                        <w:r w:rsidRPr="00612437">
                          <w:rPr>
                            <w:rFonts w:ascii="Arial" w:eastAsia="Calibri" w:hAnsi="Arial" w:cs="Arial"/>
                            <w:b/>
                            <w:bCs/>
                            <w:sz w:val="16"/>
                            <w:szCs w:val="16"/>
                            <w:lang w:val="nl-NL"/>
                          </w:rPr>
                          <w:t>Er is geen minimaal gegarandeerd rendement. U kunt uw belegging geheel of gedeeltelijk verliezen.</w:t>
                        </w:r>
                      </w:p>
                    </w:tc>
                  </w:tr>
                  <w:tr w14:paraId="13AF70D1" w14:textId="77777777" w:rsidTr="004142DE">
                    <w:tblPrEx>
                      <w:tblW w:w="9563" w:type="dxa"/>
                      <w:jc w:val="center"/>
                      <w:tblCellMar>
                        <w:top w:w="30" w:type="dxa"/>
                        <w:left w:w="30" w:type="dxa"/>
                        <w:bottom w:w="30" w:type="dxa"/>
                        <w:right w:w="30" w:type="dxa"/>
                      </w:tblCellMar>
                      <w:tblLook w:val="04A0"/>
                    </w:tblPrEx>
                    <w:trPr>
                      <w:jc w:val="center"/>
                    </w:trPr>
                    <w:tc>
                      <w:tcPr>
                        <w:tcW w:w="1755" w:type="dxa"/>
                        <w:tcBorders>
                          <w:top w:val="outset" w:sz="6" w:space="0" w:color="auto"/>
                          <w:left w:val="outset" w:sz="6" w:space="0" w:color="auto"/>
                          <w:bottom w:val="outset" w:sz="6" w:space="0" w:color="auto"/>
                          <w:right w:val="outset" w:sz="6" w:space="0" w:color="auto"/>
                        </w:tcBorders>
                        <w:shd w:val="clear" w:color="auto" w:fill="A3DAFF"/>
                        <w:hideMark/>
                      </w:tcPr>
                      <w:p w:rsidR="00516C09" w:rsidRPr="00612437" w:rsidP="00612437" w14:paraId="42916A2D" w14:textId="77777777">
                        <w:pPr>
                          <w:spacing w:after="0"/>
                          <w:jc w:val="both"/>
                          <w:rPr>
                            <w:rFonts w:ascii="Arial" w:eastAsia="Calibri" w:hAnsi="Arial" w:cs="Arial"/>
                            <w:sz w:val="16"/>
                            <w:szCs w:val="16"/>
                            <w:lang w:val="nl-NL"/>
                          </w:rPr>
                        </w:pPr>
                        <w:r w:rsidRPr="00612437">
                          <w:rPr>
                            <w:rFonts w:ascii="Arial" w:eastAsia="Calibri" w:hAnsi="Arial" w:cs="Arial"/>
                            <w:b/>
                            <w:bCs/>
                            <w:sz w:val="16"/>
                            <w:szCs w:val="16"/>
                            <w:lang w:val="nl-NL"/>
                          </w:rPr>
                          <w:t>Ongunstig</w:t>
                        </w:r>
                      </w:p>
                    </w:tc>
                    <w:tc>
                      <w:tcPr>
                        <w:tcW w:w="4152" w:type="dxa"/>
                        <w:tcBorders>
                          <w:top w:val="outset" w:sz="6" w:space="0" w:color="auto"/>
                          <w:left w:val="outset" w:sz="6" w:space="0" w:color="auto"/>
                          <w:bottom w:val="outset" w:sz="6" w:space="0" w:color="auto"/>
                          <w:right w:val="outset" w:sz="6" w:space="0" w:color="auto"/>
                        </w:tcBorders>
                        <w:shd w:val="clear" w:color="auto" w:fill="A3DAFF"/>
                        <w:hideMark/>
                      </w:tcPr>
                      <w:p w:rsidR="00516C09" w:rsidRPr="00612437" w:rsidP="00612437" w14:paraId="5FA309ED" w14:textId="77777777">
                        <w:pPr>
                          <w:spacing w:after="0"/>
                          <w:jc w:val="both"/>
                          <w:rPr>
                            <w:rFonts w:ascii="Arial" w:eastAsia="Calibri" w:hAnsi="Arial" w:cs="Arial"/>
                            <w:sz w:val="16"/>
                            <w:szCs w:val="16"/>
                            <w:lang w:val="nl-NL"/>
                          </w:rPr>
                        </w:pPr>
                        <w:r w:rsidRPr="00612437">
                          <w:rPr>
                            <w:rFonts w:ascii="Arial" w:eastAsia="Calibri" w:hAnsi="Arial" w:cs="Arial"/>
                            <w:b/>
                            <w:bCs/>
                            <w:i/>
                            <w:iCs/>
                            <w:sz w:val="16"/>
                            <w:szCs w:val="16"/>
                            <w:lang w:val="nl-NL"/>
                          </w:rPr>
                          <w:t>Wat u kunt terugkrijgen na kosten</w:t>
                        </w:r>
                      </w:p>
                    </w:tc>
                    <w:tc>
                      <w:tcPr>
                        <w:tcW w:w="1028" w:type="dxa"/>
                        <w:tcBorders>
                          <w:top w:val="outset" w:sz="6" w:space="0" w:color="auto"/>
                          <w:left w:val="outset" w:sz="6" w:space="0" w:color="auto"/>
                          <w:bottom w:val="outset" w:sz="6" w:space="0" w:color="auto"/>
                          <w:right w:val="outset" w:sz="6" w:space="0" w:color="auto"/>
                        </w:tcBorders>
                        <w:shd w:val="clear" w:color="auto" w:fill="A3DAFF"/>
                        <w:hideMark/>
                      </w:tcPr>
                      <w:p w:rsidR="00516C09" w:rsidRPr="00612437" w:rsidP="00612437" w14:paraId="0CC0B12D" w14:textId="307693AB">
                        <w:pPr>
                          <w:spacing w:after="0"/>
                          <w:jc w:val="center"/>
                          <w:rPr>
                            <w:rFonts w:ascii="Arial" w:eastAsia="Calibri" w:hAnsi="Arial" w:cs="Arial"/>
                            <w:sz w:val="16"/>
                            <w:szCs w:val="16"/>
                            <w:lang w:val="nl-NL"/>
                          </w:rPr>
                        </w:pPr>
                        <w:r w:rsidRPr="00612437">
                          <w:rPr>
                            <w:rFonts w:ascii="Arial" w:eastAsia="Times New Roman" w:hAnsi="Arial" w:cs="Arial"/>
                            <w:sz w:val="16"/>
                            <w:szCs w:val="16"/>
                            <w:lang w:val="nl-NL" w:eastAsia="nl-NL"/>
                          </w:rPr>
                          <w:t>€</w:t>
                        </w:r>
                        <w:r>
                          <w:rPr>
                            <w:rFonts w:ascii="Arial" w:eastAsia="Times New Roman" w:hAnsi="Arial" w:cs="Arial"/>
                            <w:sz w:val="16"/>
                            <w:szCs w:val="16"/>
                            <w:lang w:val="nl-NL" w:eastAsia="nl-NL"/>
                          </w:rPr>
                          <w:t>[●]</w:t>
                        </w:r>
                      </w:p>
                    </w:tc>
                    <w:tc>
                      <w:tcPr>
                        <w:tcW w:w="1482" w:type="dxa"/>
                        <w:tcBorders>
                          <w:top w:val="outset" w:sz="6" w:space="0" w:color="auto"/>
                          <w:left w:val="outset" w:sz="6" w:space="0" w:color="auto"/>
                          <w:bottom w:val="outset" w:sz="6" w:space="0" w:color="auto"/>
                          <w:right w:val="outset" w:sz="6" w:space="0" w:color="auto"/>
                        </w:tcBorders>
                        <w:shd w:val="clear" w:color="auto" w:fill="A3DAFF"/>
                        <w:hideMark/>
                      </w:tcPr>
                      <w:p w:rsidR="00516C09" w:rsidRPr="00612437" w:rsidP="00612437" w14:paraId="5759CA49" w14:textId="7118A22D">
                        <w:pPr>
                          <w:spacing w:after="0"/>
                          <w:jc w:val="center"/>
                          <w:rPr>
                            <w:rFonts w:ascii="Arial" w:eastAsia="Calibri" w:hAnsi="Arial" w:cs="Arial"/>
                            <w:sz w:val="16"/>
                            <w:szCs w:val="16"/>
                            <w:lang w:val="nl-NL"/>
                          </w:rPr>
                        </w:pPr>
                        <w:r w:rsidRPr="00612437">
                          <w:rPr>
                            <w:rFonts w:ascii="Arial" w:eastAsia="Times New Roman" w:hAnsi="Arial" w:cs="Arial"/>
                            <w:sz w:val="16"/>
                            <w:szCs w:val="16"/>
                            <w:lang w:val="nl-NL" w:eastAsia="nl-NL"/>
                          </w:rPr>
                          <w:t>€</w:t>
                        </w:r>
                        <w:r>
                          <w:rPr>
                            <w:rFonts w:ascii="Arial" w:eastAsia="Times New Roman" w:hAnsi="Arial" w:cs="Arial"/>
                            <w:sz w:val="16"/>
                            <w:szCs w:val="16"/>
                            <w:lang w:val="nl-NL" w:eastAsia="nl-NL"/>
                          </w:rPr>
                          <w:t>[●]</w:t>
                        </w:r>
                      </w:p>
                    </w:tc>
                    <w:tc>
                      <w:tcPr>
                        <w:tcW w:w="1146" w:type="dxa"/>
                        <w:tcBorders>
                          <w:top w:val="outset" w:sz="6" w:space="0" w:color="auto"/>
                          <w:left w:val="outset" w:sz="6" w:space="0" w:color="auto"/>
                          <w:bottom w:val="outset" w:sz="6" w:space="0" w:color="auto"/>
                          <w:right w:val="outset" w:sz="6" w:space="0" w:color="auto"/>
                        </w:tcBorders>
                        <w:shd w:val="clear" w:color="auto" w:fill="A3DAFF"/>
                        <w:hideMark/>
                      </w:tcPr>
                      <w:p w:rsidR="00516C09" w:rsidRPr="00612437" w:rsidP="00612437" w14:paraId="2AB2428A" w14:textId="38CC7279">
                        <w:pPr>
                          <w:spacing w:after="0"/>
                          <w:jc w:val="center"/>
                          <w:rPr>
                            <w:rFonts w:ascii="Arial" w:eastAsia="Calibri" w:hAnsi="Arial" w:cs="Arial"/>
                            <w:sz w:val="16"/>
                            <w:szCs w:val="16"/>
                            <w:lang w:val="nl-NL"/>
                          </w:rPr>
                        </w:pPr>
                        <w:r w:rsidRPr="00612437">
                          <w:rPr>
                            <w:rFonts w:ascii="Arial" w:eastAsia="Times New Roman" w:hAnsi="Arial" w:cs="Arial"/>
                            <w:sz w:val="16"/>
                            <w:szCs w:val="16"/>
                            <w:lang w:val="nl-NL" w:eastAsia="nl-NL"/>
                          </w:rPr>
                          <w:t>€</w:t>
                        </w:r>
                        <w:r>
                          <w:rPr>
                            <w:rFonts w:ascii="Arial" w:eastAsia="Times New Roman" w:hAnsi="Arial" w:cs="Arial"/>
                            <w:sz w:val="16"/>
                            <w:szCs w:val="16"/>
                            <w:lang w:val="nl-NL" w:eastAsia="nl-NL"/>
                          </w:rPr>
                          <w:t>[●]</w:t>
                        </w:r>
                      </w:p>
                    </w:tc>
                  </w:tr>
                  <w:tr w14:paraId="0A5E2645" w14:textId="77777777" w:rsidTr="004142DE">
                    <w:tblPrEx>
                      <w:tblW w:w="9563" w:type="dxa"/>
                      <w:jc w:val="center"/>
                      <w:tblCellMar>
                        <w:top w:w="30" w:type="dxa"/>
                        <w:left w:w="30" w:type="dxa"/>
                        <w:bottom w:w="30" w:type="dxa"/>
                        <w:right w:w="30" w:type="dxa"/>
                      </w:tblCellMar>
                      <w:tblLook w:val="04A0"/>
                    </w:tblPrEx>
                    <w:trPr>
                      <w:jc w:val="center"/>
                    </w:trPr>
                    <w:tc>
                      <w:tcPr>
                        <w:tcW w:w="1755" w:type="dxa"/>
                        <w:tcBorders>
                          <w:top w:val="outset" w:sz="6" w:space="0" w:color="auto"/>
                          <w:left w:val="outset" w:sz="6" w:space="0" w:color="auto"/>
                          <w:bottom w:val="outset" w:sz="6" w:space="0" w:color="auto"/>
                          <w:right w:val="outset" w:sz="6" w:space="0" w:color="auto"/>
                        </w:tcBorders>
                        <w:shd w:val="clear" w:color="auto" w:fill="A3DAFF"/>
                        <w:hideMark/>
                      </w:tcPr>
                      <w:p w:rsidR="00516C09" w:rsidRPr="00612437" w:rsidP="00612437" w14:paraId="4C87BCBE" w14:textId="77777777">
                        <w:pPr>
                          <w:spacing w:after="0"/>
                          <w:jc w:val="both"/>
                          <w:rPr>
                            <w:rFonts w:ascii="Arial" w:eastAsia="Calibri" w:hAnsi="Arial" w:cs="Arial"/>
                            <w:sz w:val="16"/>
                            <w:szCs w:val="16"/>
                            <w:lang w:val="nl-NL"/>
                          </w:rPr>
                        </w:pPr>
                        <w:r w:rsidRPr="00612437">
                          <w:rPr>
                            <w:rFonts w:ascii="Arial" w:eastAsia="Calibri" w:hAnsi="Arial" w:cs="Arial"/>
                            <w:sz w:val="16"/>
                            <w:szCs w:val="16"/>
                            <w:lang w:val="nl-NL"/>
                          </w:rPr>
                          <w:t> </w:t>
                        </w:r>
                      </w:p>
                    </w:tc>
                    <w:tc>
                      <w:tcPr>
                        <w:tcW w:w="4152" w:type="dxa"/>
                        <w:tcBorders>
                          <w:top w:val="outset" w:sz="6" w:space="0" w:color="auto"/>
                          <w:left w:val="outset" w:sz="6" w:space="0" w:color="auto"/>
                          <w:bottom w:val="outset" w:sz="6" w:space="0" w:color="auto"/>
                          <w:right w:val="outset" w:sz="6" w:space="0" w:color="auto"/>
                        </w:tcBorders>
                        <w:shd w:val="clear" w:color="auto" w:fill="A3DAFF"/>
                        <w:hideMark/>
                      </w:tcPr>
                      <w:p w:rsidR="00516C09" w:rsidRPr="00612437" w:rsidP="00612437" w14:paraId="0E60B56B" w14:textId="77777777">
                        <w:pPr>
                          <w:spacing w:after="0"/>
                          <w:jc w:val="both"/>
                          <w:rPr>
                            <w:rFonts w:ascii="Arial" w:eastAsia="Calibri" w:hAnsi="Arial" w:cs="Arial"/>
                            <w:sz w:val="16"/>
                            <w:szCs w:val="16"/>
                            <w:lang w:val="nl-NL"/>
                          </w:rPr>
                        </w:pPr>
                        <w:r w:rsidRPr="00612437">
                          <w:rPr>
                            <w:rFonts w:ascii="Arial" w:eastAsia="Calibri" w:hAnsi="Arial" w:cs="Arial"/>
                            <w:sz w:val="16"/>
                            <w:szCs w:val="16"/>
                            <w:lang w:val="nl-NL"/>
                          </w:rPr>
                          <w:t>Gemiddeld rendement per jaar</w:t>
                        </w:r>
                      </w:p>
                    </w:tc>
                    <w:tc>
                      <w:tcPr>
                        <w:tcW w:w="1028" w:type="dxa"/>
                        <w:tcBorders>
                          <w:top w:val="outset" w:sz="6" w:space="0" w:color="auto"/>
                          <w:left w:val="outset" w:sz="6" w:space="0" w:color="auto"/>
                          <w:bottom w:val="outset" w:sz="6" w:space="0" w:color="auto"/>
                          <w:right w:val="outset" w:sz="6" w:space="0" w:color="auto"/>
                        </w:tcBorders>
                        <w:shd w:val="clear" w:color="auto" w:fill="A3DAFF"/>
                        <w:hideMark/>
                      </w:tcPr>
                      <w:p w:rsidR="00516C09" w:rsidRPr="00612437" w:rsidP="00612437" w14:paraId="2F1C8F08" w14:textId="023A26C9">
                        <w:pPr>
                          <w:spacing w:after="0"/>
                          <w:jc w:val="center"/>
                          <w:rPr>
                            <w:rFonts w:ascii="Arial" w:eastAsia="Calibri" w:hAnsi="Arial" w:cs="Arial"/>
                            <w:sz w:val="16"/>
                            <w:szCs w:val="16"/>
                            <w:lang w:val="nl-NL"/>
                          </w:rPr>
                        </w:pPr>
                        <w:r>
                          <w:rPr>
                            <w:rFonts w:ascii="Arial" w:eastAsia="Times New Roman" w:hAnsi="Arial" w:cs="Arial"/>
                            <w:sz w:val="16"/>
                            <w:szCs w:val="16"/>
                            <w:lang w:val="nl-NL" w:eastAsia="nl-NL"/>
                          </w:rPr>
                          <w:t>[●]</w:t>
                        </w:r>
                        <w:r w:rsidRPr="00612437">
                          <w:rPr>
                            <w:rFonts w:ascii="Arial" w:eastAsia="Times New Roman" w:hAnsi="Arial" w:cs="Arial"/>
                            <w:sz w:val="16"/>
                            <w:szCs w:val="16"/>
                            <w:lang w:val="nl-NL" w:eastAsia="nl-NL"/>
                          </w:rPr>
                          <w:t>%</w:t>
                        </w:r>
                        <w:r>
                          <w:rPr>
                            <w:rStyle w:val="EndnoteReference"/>
                            <w:rFonts w:ascii="Arial" w:eastAsia="Times New Roman" w:hAnsi="Arial" w:cs="Arial"/>
                            <w:sz w:val="16"/>
                            <w:szCs w:val="16"/>
                            <w:lang w:val="nl-NL" w:eastAsia="nl-NL"/>
                          </w:rPr>
                          <w:endnoteReference w:id="24"/>
                        </w:r>
                      </w:p>
                    </w:tc>
                    <w:tc>
                      <w:tcPr>
                        <w:tcW w:w="1482" w:type="dxa"/>
                        <w:tcBorders>
                          <w:top w:val="outset" w:sz="6" w:space="0" w:color="auto"/>
                          <w:left w:val="outset" w:sz="6" w:space="0" w:color="auto"/>
                          <w:bottom w:val="outset" w:sz="6" w:space="0" w:color="auto"/>
                          <w:right w:val="outset" w:sz="6" w:space="0" w:color="auto"/>
                        </w:tcBorders>
                        <w:shd w:val="clear" w:color="auto" w:fill="A3DAFF"/>
                        <w:hideMark/>
                      </w:tcPr>
                      <w:p w:rsidR="00516C09" w:rsidRPr="00612437" w:rsidP="00612437" w14:paraId="75A7F27B" w14:textId="0BD6E8B7">
                        <w:pPr>
                          <w:spacing w:after="0"/>
                          <w:jc w:val="center"/>
                          <w:rPr>
                            <w:rFonts w:ascii="Arial" w:eastAsia="Calibri" w:hAnsi="Arial" w:cs="Arial"/>
                            <w:sz w:val="16"/>
                            <w:szCs w:val="16"/>
                            <w:lang w:val="nl-NL"/>
                          </w:rPr>
                        </w:pPr>
                        <w:r>
                          <w:rPr>
                            <w:rFonts w:ascii="Arial" w:eastAsia="Times New Roman" w:hAnsi="Arial" w:cs="Arial"/>
                            <w:sz w:val="16"/>
                            <w:szCs w:val="16"/>
                            <w:lang w:val="nl-NL" w:eastAsia="nl-NL"/>
                          </w:rPr>
                          <w:t>[●]</w:t>
                        </w:r>
                        <w:r w:rsidRPr="00612437">
                          <w:rPr>
                            <w:rFonts w:ascii="Arial" w:eastAsia="Times New Roman" w:hAnsi="Arial" w:cs="Arial"/>
                            <w:sz w:val="16"/>
                            <w:szCs w:val="16"/>
                            <w:lang w:val="nl-NL" w:eastAsia="nl-NL"/>
                          </w:rPr>
                          <w:t>%</w:t>
                        </w:r>
                      </w:p>
                    </w:tc>
                    <w:tc>
                      <w:tcPr>
                        <w:tcW w:w="1146" w:type="dxa"/>
                        <w:tcBorders>
                          <w:top w:val="outset" w:sz="6" w:space="0" w:color="auto"/>
                          <w:left w:val="outset" w:sz="6" w:space="0" w:color="auto"/>
                          <w:bottom w:val="outset" w:sz="6" w:space="0" w:color="auto"/>
                          <w:right w:val="outset" w:sz="6" w:space="0" w:color="auto"/>
                        </w:tcBorders>
                        <w:shd w:val="clear" w:color="auto" w:fill="A3DAFF"/>
                        <w:hideMark/>
                      </w:tcPr>
                      <w:p w:rsidR="00516C09" w:rsidRPr="00612437" w:rsidP="00612437" w14:paraId="470E4AF3" w14:textId="789FA7FA">
                        <w:pPr>
                          <w:spacing w:after="0"/>
                          <w:jc w:val="center"/>
                          <w:rPr>
                            <w:rFonts w:ascii="Arial" w:eastAsia="Calibri" w:hAnsi="Arial" w:cs="Arial"/>
                            <w:sz w:val="16"/>
                            <w:szCs w:val="16"/>
                            <w:lang w:val="nl-NL"/>
                          </w:rPr>
                        </w:pPr>
                        <w:r>
                          <w:rPr>
                            <w:rFonts w:ascii="Arial" w:eastAsia="Times New Roman" w:hAnsi="Arial" w:cs="Arial"/>
                            <w:sz w:val="16"/>
                            <w:szCs w:val="16"/>
                            <w:lang w:val="nl-NL" w:eastAsia="nl-NL"/>
                          </w:rPr>
                          <w:t>[●]</w:t>
                        </w:r>
                        <w:r w:rsidRPr="00612437">
                          <w:rPr>
                            <w:rFonts w:ascii="Arial" w:eastAsia="Times New Roman" w:hAnsi="Arial" w:cs="Arial"/>
                            <w:sz w:val="16"/>
                            <w:szCs w:val="16"/>
                            <w:lang w:val="nl-NL" w:eastAsia="nl-NL"/>
                          </w:rPr>
                          <w:t>%</w:t>
                        </w:r>
                      </w:p>
                    </w:tc>
                  </w:tr>
                  <w:tr w14:paraId="59BF815B" w14:textId="77777777" w:rsidTr="004142DE">
                    <w:tblPrEx>
                      <w:tblW w:w="9563" w:type="dxa"/>
                      <w:jc w:val="center"/>
                      <w:tblCellMar>
                        <w:top w:w="30" w:type="dxa"/>
                        <w:left w:w="30" w:type="dxa"/>
                        <w:bottom w:w="30" w:type="dxa"/>
                        <w:right w:w="30" w:type="dxa"/>
                      </w:tblCellMar>
                      <w:tblLook w:val="04A0"/>
                    </w:tblPrEx>
                    <w:trPr>
                      <w:jc w:val="center"/>
                    </w:trPr>
                    <w:tc>
                      <w:tcPr>
                        <w:tcW w:w="1755" w:type="dxa"/>
                        <w:tcBorders>
                          <w:top w:val="outset" w:sz="6" w:space="0" w:color="auto"/>
                          <w:left w:val="outset" w:sz="6" w:space="0" w:color="auto"/>
                          <w:bottom w:val="outset" w:sz="6" w:space="0" w:color="auto"/>
                          <w:right w:val="outset" w:sz="6" w:space="0" w:color="auto"/>
                        </w:tcBorders>
                        <w:shd w:val="clear" w:color="auto" w:fill="A3DAFF"/>
                        <w:hideMark/>
                      </w:tcPr>
                      <w:p w:rsidR="00516C09" w:rsidRPr="00612437" w:rsidP="00612437" w14:paraId="58EEDE4F" w14:textId="77777777">
                        <w:pPr>
                          <w:spacing w:after="0"/>
                          <w:jc w:val="both"/>
                          <w:rPr>
                            <w:rFonts w:ascii="Arial" w:eastAsia="Calibri" w:hAnsi="Arial" w:cs="Arial"/>
                            <w:sz w:val="16"/>
                            <w:szCs w:val="16"/>
                            <w:lang w:val="nl-NL"/>
                          </w:rPr>
                        </w:pPr>
                        <w:r w:rsidRPr="00612437">
                          <w:rPr>
                            <w:rFonts w:ascii="Arial" w:eastAsia="Calibri" w:hAnsi="Arial" w:cs="Arial"/>
                            <w:b/>
                            <w:bCs/>
                            <w:sz w:val="16"/>
                            <w:szCs w:val="16"/>
                            <w:lang w:val="nl-NL"/>
                          </w:rPr>
                          <w:t>Gematigd</w:t>
                        </w:r>
                      </w:p>
                    </w:tc>
                    <w:tc>
                      <w:tcPr>
                        <w:tcW w:w="4152" w:type="dxa"/>
                        <w:tcBorders>
                          <w:top w:val="outset" w:sz="6" w:space="0" w:color="auto"/>
                          <w:left w:val="outset" w:sz="6" w:space="0" w:color="auto"/>
                          <w:bottom w:val="outset" w:sz="6" w:space="0" w:color="auto"/>
                          <w:right w:val="outset" w:sz="6" w:space="0" w:color="auto"/>
                        </w:tcBorders>
                        <w:shd w:val="clear" w:color="auto" w:fill="A3DAFF"/>
                        <w:hideMark/>
                      </w:tcPr>
                      <w:p w:rsidR="00516C09" w:rsidRPr="00612437" w:rsidP="00612437" w14:paraId="5ED37435" w14:textId="77777777">
                        <w:pPr>
                          <w:spacing w:after="0"/>
                          <w:jc w:val="both"/>
                          <w:rPr>
                            <w:rFonts w:ascii="Arial" w:eastAsia="Calibri" w:hAnsi="Arial" w:cs="Arial"/>
                            <w:sz w:val="16"/>
                            <w:szCs w:val="16"/>
                            <w:lang w:val="nl-NL"/>
                          </w:rPr>
                        </w:pPr>
                        <w:r w:rsidRPr="00612437">
                          <w:rPr>
                            <w:rFonts w:ascii="Arial" w:eastAsia="Calibri" w:hAnsi="Arial" w:cs="Arial"/>
                            <w:b/>
                            <w:bCs/>
                            <w:i/>
                            <w:iCs/>
                            <w:sz w:val="16"/>
                            <w:szCs w:val="16"/>
                            <w:lang w:val="nl-NL"/>
                          </w:rPr>
                          <w:t>Wat u kunt terugkrijgen na kosten</w:t>
                        </w:r>
                      </w:p>
                    </w:tc>
                    <w:tc>
                      <w:tcPr>
                        <w:tcW w:w="1028" w:type="dxa"/>
                        <w:tcBorders>
                          <w:top w:val="outset" w:sz="6" w:space="0" w:color="auto"/>
                          <w:left w:val="outset" w:sz="6" w:space="0" w:color="auto"/>
                          <w:bottom w:val="outset" w:sz="6" w:space="0" w:color="auto"/>
                          <w:right w:val="outset" w:sz="6" w:space="0" w:color="auto"/>
                        </w:tcBorders>
                        <w:shd w:val="clear" w:color="auto" w:fill="A3DAFF"/>
                        <w:hideMark/>
                      </w:tcPr>
                      <w:p w:rsidR="00516C09" w:rsidRPr="00612437" w:rsidP="00612437" w14:paraId="711E0A97" w14:textId="21EB9C7D">
                        <w:pPr>
                          <w:spacing w:after="0"/>
                          <w:jc w:val="center"/>
                          <w:rPr>
                            <w:rFonts w:ascii="Arial" w:eastAsia="Calibri" w:hAnsi="Arial" w:cs="Arial"/>
                            <w:sz w:val="16"/>
                            <w:szCs w:val="16"/>
                            <w:lang w:val="nl-NL"/>
                          </w:rPr>
                        </w:pPr>
                        <w:r w:rsidRPr="00612437">
                          <w:rPr>
                            <w:rFonts w:ascii="Arial" w:eastAsia="Times New Roman" w:hAnsi="Arial" w:cs="Arial"/>
                            <w:sz w:val="16"/>
                            <w:szCs w:val="16"/>
                            <w:lang w:val="nl-NL" w:eastAsia="nl-NL"/>
                          </w:rPr>
                          <w:t>€</w:t>
                        </w:r>
                        <w:r>
                          <w:rPr>
                            <w:rFonts w:ascii="Arial" w:eastAsia="Times New Roman" w:hAnsi="Arial" w:cs="Arial"/>
                            <w:sz w:val="16"/>
                            <w:szCs w:val="16"/>
                            <w:lang w:val="nl-NL" w:eastAsia="nl-NL"/>
                          </w:rPr>
                          <w:t>[●]</w:t>
                        </w:r>
                      </w:p>
                    </w:tc>
                    <w:tc>
                      <w:tcPr>
                        <w:tcW w:w="1482" w:type="dxa"/>
                        <w:tcBorders>
                          <w:top w:val="outset" w:sz="6" w:space="0" w:color="auto"/>
                          <w:left w:val="outset" w:sz="6" w:space="0" w:color="auto"/>
                          <w:bottom w:val="outset" w:sz="6" w:space="0" w:color="auto"/>
                          <w:right w:val="outset" w:sz="6" w:space="0" w:color="auto"/>
                        </w:tcBorders>
                        <w:shd w:val="clear" w:color="auto" w:fill="A3DAFF"/>
                        <w:hideMark/>
                      </w:tcPr>
                      <w:p w:rsidR="00516C09" w:rsidRPr="00612437" w:rsidP="00612437" w14:paraId="28892DEE" w14:textId="17E66A57">
                        <w:pPr>
                          <w:spacing w:after="0"/>
                          <w:jc w:val="center"/>
                          <w:rPr>
                            <w:rFonts w:ascii="Arial" w:eastAsia="Calibri" w:hAnsi="Arial" w:cs="Arial"/>
                            <w:sz w:val="16"/>
                            <w:szCs w:val="16"/>
                            <w:lang w:val="nl-NL"/>
                          </w:rPr>
                        </w:pPr>
                        <w:r w:rsidRPr="00612437">
                          <w:rPr>
                            <w:rFonts w:ascii="Arial" w:eastAsia="Times New Roman" w:hAnsi="Arial" w:cs="Arial"/>
                            <w:sz w:val="16"/>
                            <w:szCs w:val="16"/>
                            <w:lang w:val="nl-NL" w:eastAsia="nl-NL"/>
                          </w:rPr>
                          <w:t>€</w:t>
                        </w:r>
                        <w:r>
                          <w:rPr>
                            <w:rFonts w:ascii="Arial" w:eastAsia="Times New Roman" w:hAnsi="Arial" w:cs="Arial"/>
                            <w:sz w:val="16"/>
                            <w:szCs w:val="16"/>
                            <w:lang w:val="nl-NL" w:eastAsia="nl-NL"/>
                          </w:rPr>
                          <w:t>[●]</w:t>
                        </w:r>
                      </w:p>
                    </w:tc>
                    <w:tc>
                      <w:tcPr>
                        <w:tcW w:w="1146" w:type="dxa"/>
                        <w:tcBorders>
                          <w:top w:val="outset" w:sz="6" w:space="0" w:color="auto"/>
                          <w:left w:val="outset" w:sz="6" w:space="0" w:color="auto"/>
                          <w:bottom w:val="outset" w:sz="6" w:space="0" w:color="auto"/>
                          <w:right w:val="outset" w:sz="6" w:space="0" w:color="auto"/>
                        </w:tcBorders>
                        <w:shd w:val="clear" w:color="auto" w:fill="A3DAFF"/>
                        <w:hideMark/>
                      </w:tcPr>
                      <w:p w:rsidR="00516C09" w:rsidRPr="00612437" w:rsidP="00612437" w14:paraId="31B3CCAB" w14:textId="3A91C696">
                        <w:pPr>
                          <w:spacing w:after="0"/>
                          <w:jc w:val="center"/>
                          <w:rPr>
                            <w:rFonts w:ascii="Arial" w:eastAsia="Calibri" w:hAnsi="Arial" w:cs="Arial"/>
                            <w:sz w:val="16"/>
                            <w:szCs w:val="16"/>
                            <w:lang w:val="nl-NL"/>
                          </w:rPr>
                        </w:pPr>
                        <w:r w:rsidRPr="00612437">
                          <w:rPr>
                            <w:rFonts w:ascii="Arial" w:eastAsia="Times New Roman" w:hAnsi="Arial" w:cs="Arial"/>
                            <w:sz w:val="16"/>
                            <w:szCs w:val="16"/>
                            <w:lang w:val="nl-NL" w:eastAsia="nl-NL"/>
                          </w:rPr>
                          <w:t>€</w:t>
                        </w:r>
                        <w:r>
                          <w:rPr>
                            <w:rFonts w:ascii="Arial" w:eastAsia="Times New Roman" w:hAnsi="Arial" w:cs="Arial"/>
                            <w:sz w:val="16"/>
                            <w:szCs w:val="16"/>
                            <w:lang w:val="nl-NL" w:eastAsia="nl-NL"/>
                          </w:rPr>
                          <w:t>[●]</w:t>
                        </w:r>
                      </w:p>
                    </w:tc>
                  </w:tr>
                  <w:tr w14:paraId="412A8CAF" w14:textId="77777777" w:rsidTr="004142DE">
                    <w:tblPrEx>
                      <w:tblW w:w="9563" w:type="dxa"/>
                      <w:jc w:val="center"/>
                      <w:tblCellMar>
                        <w:top w:w="30" w:type="dxa"/>
                        <w:left w:w="30" w:type="dxa"/>
                        <w:bottom w:w="30" w:type="dxa"/>
                        <w:right w:w="30" w:type="dxa"/>
                      </w:tblCellMar>
                      <w:tblLook w:val="04A0"/>
                    </w:tblPrEx>
                    <w:trPr>
                      <w:jc w:val="center"/>
                    </w:trPr>
                    <w:tc>
                      <w:tcPr>
                        <w:tcW w:w="1755" w:type="dxa"/>
                        <w:tcBorders>
                          <w:top w:val="outset" w:sz="6" w:space="0" w:color="auto"/>
                          <w:left w:val="outset" w:sz="6" w:space="0" w:color="auto"/>
                          <w:bottom w:val="outset" w:sz="6" w:space="0" w:color="auto"/>
                          <w:right w:val="outset" w:sz="6" w:space="0" w:color="auto"/>
                        </w:tcBorders>
                        <w:shd w:val="clear" w:color="auto" w:fill="A3DAFF"/>
                        <w:hideMark/>
                      </w:tcPr>
                      <w:p w:rsidR="00516C09" w:rsidRPr="00612437" w:rsidP="00612437" w14:paraId="22D2539B" w14:textId="77777777">
                        <w:pPr>
                          <w:spacing w:after="0"/>
                          <w:jc w:val="both"/>
                          <w:rPr>
                            <w:rFonts w:ascii="Arial" w:eastAsia="Calibri" w:hAnsi="Arial" w:cs="Arial"/>
                            <w:sz w:val="16"/>
                            <w:szCs w:val="16"/>
                            <w:lang w:val="nl-NL"/>
                          </w:rPr>
                        </w:pPr>
                        <w:r w:rsidRPr="00612437">
                          <w:rPr>
                            <w:rFonts w:ascii="Arial" w:eastAsia="Calibri" w:hAnsi="Arial" w:cs="Arial"/>
                            <w:sz w:val="16"/>
                            <w:szCs w:val="16"/>
                            <w:lang w:val="nl-NL"/>
                          </w:rPr>
                          <w:t> </w:t>
                        </w:r>
                      </w:p>
                    </w:tc>
                    <w:tc>
                      <w:tcPr>
                        <w:tcW w:w="4152" w:type="dxa"/>
                        <w:tcBorders>
                          <w:top w:val="outset" w:sz="6" w:space="0" w:color="auto"/>
                          <w:left w:val="outset" w:sz="6" w:space="0" w:color="auto"/>
                          <w:bottom w:val="outset" w:sz="6" w:space="0" w:color="auto"/>
                          <w:right w:val="outset" w:sz="6" w:space="0" w:color="auto"/>
                        </w:tcBorders>
                        <w:shd w:val="clear" w:color="auto" w:fill="A3DAFF"/>
                        <w:hideMark/>
                      </w:tcPr>
                      <w:p w:rsidR="00516C09" w:rsidRPr="00612437" w:rsidP="00612437" w14:paraId="79DE2916" w14:textId="77777777">
                        <w:pPr>
                          <w:spacing w:after="0"/>
                          <w:jc w:val="both"/>
                          <w:rPr>
                            <w:rFonts w:ascii="Arial" w:eastAsia="Calibri" w:hAnsi="Arial" w:cs="Arial"/>
                            <w:sz w:val="16"/>
                            <w:szCs w:val="16"/>
                            <w:lang w:val="nl-NL"/>
                          </w:rPr>
                        </w:pPr>
                        <w:r w:rsidRPr="00612437">
                          <w:rPr>
                            <w:rFonts w:ascii="Arial" w:eastAsia="Calibri" w:hAnsi="Arial" w:cs="Arial"/>
                            <w:sz w:val="16"/>
                            <w:szCs w:val="16"/>
                            <w:lang w:val="nl-NL"/>
                          </w:rPr>
                          <w:t>Gemiddeld rendement per jaar</w:t>
                        </w:r>
                      </w:p>
                    </w:tc>
                    <w:tc>
                      <w:tcPr>
                        <w:tcW w:w="1028" w:type="dxa"/>
                        <w:tcBorders>
                          <w:top w:val="outset" w:sz="6" w:space="0" w:color="auto"/>
                          <w:left w:val="outset" w:sz="6" w:space="0" w:color="auto"/>
                          <w:bottom w:val="outset" w:sz="6" w:space="0" w:color="auto"/>
                          <w:right w:val="outset" w:sz="6" w:space="0" w:color="auto"/>
                        </w:tcBorders>
                        <w:shd w:val="clear" w:color="auto" w:fill="A3DAFF"/>
                        <w:hideMark/>
                      </w:tcPr>
                      <w:p w:rsidR="00516C09" w:rsidRPr="00612437" w:rsidP="00612437" w14:paraId="5ADB31A5" w14:textId="25DA7B8E">
                        <w:pPr>
                          <w:spacing w:after="0"/>
                          <w:jc w:val="center"/>
                          <w:rPr>
                            <w:rFonts w:ascii="Arial" w:eastAsia="Calibri" w:hAnsi="Arial" w:cs="Arial"/>
                            <w:sz w:val="16"/>
                            <w:szCs w:val="16"/>
                            <w:lang w:val="nl-NL"/>
                          </w:rPr>
                        </w:pPr>
                        <w:r>
                          <w:rPr>
                            <w:rFonts w:ascii="Arial" w:eastAsia="Times New Roman" w:hAnsi="Arial" w:cs="Arial"/>
                            <w:sz w:val="16"/>
                            <w:szCs w:val="16"/>
                            <w:lang w:val="nl-NL" w:eastAsia="nl-NL"/>
                          </w:rPr>
                          <w:t>[●]</w:t>
                        </w:r>
                        <w:r w:rsidRPr="00612437">
                          <w:rPr>
                            <w:rFonts w:ascii="Arial" w:eastAsia="Times New Roman" w:hAnsi="Arial" w:cs="Arial"/>
                            <w:sz w:val="16"/>
                            <w:szCs w:val="16"/>
                            <w:lang w:val="nl-NL" w:eastAsia="nl-NL"/>
                          </w:rPr>
                          <w:t>%</w:t>
                        </w:r>
                      </w:p>
                    </w:tc>
                    <w:tc>
                      <w:tcPr>
                        <w:tcW w:w="1482" w:type="dxa"/>
                        <w:tcBorders>
                          <w:top w:val="outset" w:sz="6" w:space="0" w:color="auto"/>
                          <w:left w:val="outset" w:sz="6" w:space="0" w:color="auto"/>
                          <w:bottom w:val="outset" w:sz="6" w:space="0" w:color="auto"/>
                          <w:right w:val="outset" w:sz="6" w:space="0" w:color="auto"/>
                        </w:tcBorders>
                        <w:shd w:val="clear" w:color="auto" w:fill="A3DAFF"/>
                        <w:hideMark/>
                      </w:tcPr>
                      <w:p w:rsidR="00516C09" w:rsidRPr="00612437" w:rsidP="00612437" w14:paraId="260C5C23" w14:textId="4C451682">
                        <w:pPr>
                          <w:spacing w:after="0"/>
                          <w:jc w:val="center"/>
                          <w:rPr>
                            <w:rFonts w:ascii="Arial" w:eastAsia="Calibri" w:hAnsi="Arial" w:cs="Arial"/>
                            <w:sz w:val="16"/>
                            <w:szCs w:val="16"/>
                            <w:lang w:val="nl-NL"/>
                          </w:rPr>
                        </w:pPr>
                        <w:r>
                          <w:rPr>
                            <w:rFonts w:ascii="Arial" w:eastAsia="Times New Roman" w:hAnsi="Arial" w:cs="Arial"/>
                            <w:sz w:val="16"/>
                            <w:szCs w:val="16"/>
                            <w:lang w:val="nl-NL" w:eastAsia="nl-NL"/>
                          </w:rPr>
                          <w:t>[●]</w:t>
                        </w:r>
                        <w:r w:rsidRPr="00612437">
                          <w:rPr>
                            <w:rFonts w:ascii="Arial" w:eastAsia="Times New Roman" w:hAnsi="Arial" w:cs="Arial"/>
                            <w:sz w:val="16"/>
                            <w:szCs w:val="16"/>
                            <w:lang w:val="nl-NL" w:eastAsia="nl-NL"/>
                          </w:rPr>
                          <w:t>%</w:t>
                        </w:r>
                      </w:p>
                    </w:tc>
                    <w:tc>
                      <w:tcPr>
                        <w:tcW w:w="1146" w:type="dxa"/>
                        <w:tcBorders>
                          <w:top w:val="outset" w:sz="6" w:space="0" w:color="auto"/>
                          <w:left w:val="outset" w:sz="6" w:space="0" w:color="auto"/>
                          <w:bottom w:val="outset" w:sz="6" w:space="0" w:color="auto"/>
                          <w:right w:val="outset" w:sz="6" w:space="0" w:color="auto"/>
                        </w:tcBorders>
                        <w:shd w:val="clear" w:color="auto" w:fill="A3DAFF"/>
                        <w:hideMark/>
                      </w:tcPr>
                      <w:p w:rsidR="00516C09" w:rsidRPr="00612437" w:rsidP="00612437" w14:paraId="43377259" w14:textId="12E24294">
                        <w:pPr>
                          <w:spacing w:after="0"/>
                          <w:jc w:val="center"/>
                          <w:rPr>
                            <w:rFonts w:ascii="Arial" w:eastAsia="Calibri" w:hAnsi="Arial" w:cs="Arial"/>
                            <w:sz w:val="16"/>
                            <w:szCs w:val="16"/>
                            <w:lang w:val="nl-NL"/>
                          </w:rPr>
                        </w:pPr>
                        <w:r>
                          <w:rPr>
                            <w:rFonts w:ascii="Arial" w:eastAsia="Times New Roman" w:hAnsi="Arial" w:cs="Arial"/>
                            <w:sz w:val="16"/>
                            <w:szCs w:val="16"/>
                            <w:lang w:val="nl-NL" w:eastAsia="nl-NL"/>
                          </w:rPr>
                          <w:t>[●]</w:t>
                        </w:r>
                        <w:r w:rsidRPr="00612437">
                          <w:rPr>
                            <w:rFonts w:ascii="Arial" w:eastAsia="Times New Roman" w:hAnsi="Arial" w:cs="Arial"/>
                            <w:sz w:val="16"/>
                            <w:szCs w:val="16"/>
                            <w:lang w:val="nl-NL" w:eastAsia="nl-NL"/>
                          </w:rPr>
                          <w:t>%</w:t>
                        </w:r>
                      </w:p>
                    </w:tc>
                  </w:tr>
                  <w:tr w14:paraId="4484BABD" w14:textId="77777777" w:rsidTr="004142DE">
                    <w:tblPrEx>
                      <w:tblW w:w="9563" w:type="dxa"/>
                      <w:jc w:val="center"/>
                      <w:tblCellMar>
                        <w:top w:w="30" w:type="dxa"/>
                        <w:left w:w="30" w:type="dxa"/>
                        <w:bottom w:w="30" w:type="dxa"/>
                        <w:right w:w="30" w:type="dxa"/>
                      </w:tblCellMar>
                      <w:tblLook w:val="04A0"/>
                    </w:tblPrEx>
                    <w:trPr>
                      <w:jc w:val="center"/>
                    </w:trPr>
                    <w:tc>
                      <w:tcPr>
                        <w:tcW w:w="1755" w:type="dxa"/>
                        <w:tcBorders>
                          <w:top w:val="outset" w:sz="6" w:space="0" w:color="auto"/>
                          <w:left w:val="outset" w:sz="6" w:space="0" w:color="auto"/>
                          <w:bottom w:val="outset" w:sz="6" w:space="0" w:color="auto"/>
                          <w:right w:val="outset" w:sz="6" w:space="0" w:color="auto"/>
                        </w:tcBorders>
                        <w:shd w:val="clear" w:color="auto" w:fill="A3DAFF"/>
                        <w:hideMark/>
                      </w:tcPr>
                      <w:p w:rsidR="00516C09" w:rsidRPr="00612437" w:rsidP="00612437" w14:paraId="1863F2F0" w14:textId="77777777">
                        <w:pPr>
                          <w:spacing w:after="0"/>
                          <w:jc w:val="both"/>
                          <w:rPr>
                            <w:rFonts w:ascii="Arial" w:eastAsia="Calibri" w:hAnsi="Arial" w:cs="Arial"/>
                            <w:sz w:val="16"/>
                            <w:szCs w:val="16"/>
                            <w:lang w:val="nl-NL"/>
                          </w:rPr>
                        </w:pPr>
                        <w:r w:rsidRPr="00612437">
                          <w:rPr>
                            <w:rFonts w:ascii="Arial" w:eastAsia="Calibri" w:hAnsi="Arial" w:cs="Arial"/>
                            <w:b/>
                            <w:bCs/>
                            <w:sz w:val="16"/>
                            <w:szCs w:val="16"/>
                            <w:lang w:val="nl-NL"/>
                          </w:rPr>
                          <w:t>Gunstig</w:t>
                        </w:r>
                      </w:p>
                    </w:tc>
                    <w:tc>
                      <w:tcPr>
                        <w:tcW w:w="4152" w:type="dxa"/>
                        <w:tcBorders>
                          <w:top w:val="outset" w:sz="6" w:space="0" w:color="auto"/>
                          <w:left w:val="outset" w:sz="6" w:space="0" w:color="auto"/>
                          <w:bottom w:val="outset" w:sz="6" w:space="0" w:color="auto"/>
                          <w:right w:val="outset" w:sz="6" w:space="0" w:color="auto"/>
                        </w:tcBorders>
                        <w:shd w:val="clear" w:color="auto" w:fill="A3DAFF"/>
                        <w:hideMark/>
                      </w:tcPr>
                      <w:p w:rsidR="00516C09" w:rsidRPr="00612437" w:rsidP="00612437" w14:paraId="4D6BA11A" w14:textId="77777777">
                        <w:pPr>
                          <w:spacing w:after="0"/>
                          <w:jc w:val="both"/>
                          <w:rPr>
                            <w:rFonts w:ascii="Arial" w:eastAsia="Calibri" w:hAnsi="Arial" w:cs="Arial"/>
                            <w:sz w:val="16"/>
                            <w:szCs w:val="16"/>
                            <w:lang w:val="nl-NL"/>
                          </w:rPr>
                        </w:pPr>
                        <w:r w:rsidRPr="00612437">
                          <w:rPr>
                            <w:rFonts w:ascii="Arial" w:eastAsia="Calibri" w:hAnsi="Arial" w:cs="Arial"/>
                            <w:b/>
                            <w:bCs/>
                            <w:i/>
                            <w:iCs/>
                            <w:sz w:val="16"/>
                            <w:szCs w:val="16"/>
                            <w:lang w:val="nl-NL"/>
                          </w:rPr>
                          <w:t>Wat u kunt terugkrijgen na kosten</w:t>
                        </w:r>
                      </w:p>
                    </w:tc>
                    <w:tc>
                      <w:tcPr>
                        <w:tcW w:w="1028" w:type="dxa"/>
                        <w:tcBorders>
                          <w:top w:val="outset" w:sz="6" w:space="0" w:color="auto"/>
                          <w:left w:val="outset" w:sz="6" w:space="0" w:color="auto"/>
                          <w:bottom w:val="outset" w:sz="6" w:space="0" w:color="auto"/>
                          <w:right w:val="outset" w:sz="6" w:space="0" w:color="auto"/>
                        </w:tcBorders>
                        <w:shd w:val="clear" w:color="auto" w:fill="A3DAFF"/>
                        <w:hideMark/>
                      </w:tcPr>
                      <w:p w:rsidR="00516C09" w:rsidRPr="00612437" w:rsidP="00612437" w14:paraId="351039F6" w14:textId="0C28FB9F">
                        <w:pPr>
                          <w:spacing w:after="0"/>
                          <w:jc w:val="center"/>
                          <w:rPr>
                            <w:rFonts w:ascii="Arial" w:eastAsia="Calibri" w:hAnsi="Arial" w:cs="Arial"/>
                            <w:sz w:val="16"/>
                            <w:szCs w:val="16"/>
                            <w:lang w:val="nl-NL"/>
                          </w:rPr>
                        </w:pPr>
                        <w:r w:rsidRPr="00612437">
                          <w:rPr>
                            <w:rFonts w:ascii="Arial" w:eastAsia="Times New Roman" w:hAnsi="Arial" w:cs="Arial"/>
                            <w:sz w:val="16"/>
                            <w:szCs w:val="16"/>
                            <w:lang w:val="nl-NL" w:eastAsia="nl-NL"/>
                          </w:rPr>
                          <w:t>€</w:t>
                        </w:r>
                        <w:r>
                          <w:rPr>
                            <w:rFonts w:ascii="Arial" w:eastAsia="Times New Roman" w:hAnsi="Arial" w:cs="Arial"/>
                            <w:sz w:val="16"/>
                            <w:szCs w:val="16"/>
                            <w:lang w:val="nl-NL" w:eastAsia="nl-NL"/>
                          </w:rPr>
                          <w:t>[●]</w:t>
                        </w:r>
                      </w:p>
                    </w:tc>
                    <w:tc>
                      <w:tcPr>
                        <w:tcW w:w="1482" w:type="dxa"/>
                        <w:tcBorders>
                          <w:top w:val="outset" w:sz="6" w:space="0" w:color="auto"/>
                          <w:left w:val="outset" w:sz="6" w:space="0" w:color="auto"/>
                          <w:bottom w:val="outset" w:sz="6" w:space="0" w:color="auto"/>
                          <w:right w:val="outset" w:sz="6" w:space="0" w:color="auto"/>
                        </w:tcBorders>
                        <w:shd w:val="clear" w:color="auto" w:fill="A3DAFF"/>
                        <w:hideMark/>
                      </w:tcPr>
                      <w:p w:rsidR="00516C09" w:rsidRPr="00612437" w:rsidP="00612437" w14:paraId="4A8C7233" w14:textId="774B4389">
                        <w:pPr>
                          <w:spacing w:after="0"/>
                          <w:jc w:val="center"/>
                          <w:rPr>
                            <w:rFonts w:ascii="Arial" w:eastAsia="Calibri" w:hAnsi="Arial" w:cs="Arial"/>
                            <w:sz w:val="16"/>
                            <w:szCs w:val="16"/>
                            <w:lang w:val="nl-NL"/>
                          </w:rPr>
                        </w:pPr>
                        <w:r w:rsidRPr="00612437">
                          <w:rPr>
                            <w:rFonts w:ascii="Arial" w:eastAsia="Times New Roman" w:hAnsi="Arial" w:cs="Arial"/>
                            <w:sz w:val="16"/>
                            <w:szCs w:val="16"/>
                            <w:lang w:val="nl-NL" w:eastAsia="nl-NL"/>
                          </w:rPr>
                          <w:t>€</w:t>
                        </w:r>
                        <w:r>
                          <w:rPr>
                            <w:rFonts w:ascii="Arial" w:eastAsia="Times New Roman" w:hAnsi="Arial" w:cs="Arial"/>
                            <w:sz w:val="16"/>
                            <w:szCs w:val="16"/>
                            <w:lang w:val="nl-NL" w:eastAsia="nl-NL"/>
                          </w:rPr>
                          <w:t>[●]</w:t>
                        </w:r>
                      </w:p>
                    </w:tc>
                    <w:tc>
                      <w:tcPr>
                        <w:tcW w:w="1146" w:type="dxa"/>
                        <w:tcBorders>
                          <w:top w:val="outset" w:sz="6" w:space="0" w:color="auto"/>
                          <w:left w:val="outset" w:sz="6" w:space="0" w:color="auto"/>
                          <w:bottom w:val="outset" w:sz="6" w:space="0" w:color="auto"/>
                          <w:right w:val="outset" w:sz="6" w:space="0" w:color="auto"/>
                        </w:tcBorders>
                        <w:shd w:val="clear" w:color="auto" w:fill="A3DAFF"/>
                        <w:hideMark/>
                      </w:tcPr>
                      <w:p w:rsidR="00516C09" w:rsidRPr="00612437" w:rsidP="00612437" w14:paraId="0905F495" w14:textId="24D3EC6B">
                        <w:pPr>
                          <w:spacing w:after="0"/>
                          <w:jc w:val="center"/>
                          <w:rPr>
                            <w:rFonts w:ascii="Arial" w:eastAsia="Calibri" w:hAnsi="Arial" w:cs="Arial"/>
                            <w:sz w:val="16"/>
                            <w:szCs w:val="16"/>
                            <w:lang w:val="nl-NL"/>
                          </w:rPr>
                        </w:pPr>
                        <w:r w:rsidRPr="00612437">
                          <w:rPr>
                            <w:rFonts w:ascii="Arial" w:eastAsia="Times New Roman" w:hAnsi="Arial" w:cs="Arial"/>
                            <w:sz w:val="16"/>
                            <w:szCs w:val="16"/>
                            <w:lang w:val="nl-NL" w:eastAsia="nl-NL"/>
                          </w:rPr>
                          <w:t>€</w:t>
                        </w:r>
                        <w:r>
                          <w:rPr>
                            <w:rFonts w:ascii="Arial" w:eastAsia="Times New Roman" w:hAnsi="Arial" w:cs="Arial"/>
                            <w:sz w:val="16"/>
                            <w:szCs w:val="16"/>
                            <w:lang w:val="nl-NL" w:eastAsia="nl-NL"/>
                          </w:rPr>
                          <w:t>[●]</w:t>
                        </w:r>
                      </w:p>
                    </w:tc>
                  </w:tr>
                  <w:tr w14:paraId="721C5994" w14:textId="77777777" w:rsidTr="004142DE">
                    <w:tblPrEx>
                      <w:tblW w:w="9563" w:type="dxa"/>
                      <w:jc w:val="center"/>
                      <w:tblCellMar>
                        <w:top w:w="30" w:type="dxa"/>
                        <w:left w:w="30" w:type="dxa"/>
                        <w:bottom w:w="30" w:type="dxa"/>
                        <w:right w:w="30" w:type="dxa"/>
                      </w:tblCellMar>
                      <w:tblLook w:val="04A0"/>
                    </w:tblPrEx>
                    <w:trPr>
                      <w:jc w:val="center"/>
                    </w:trPr>
                    <w:tc>
                      <w:tcPr>
                        <w:tcW w:w="1755" w:type="dxa"/>
                        <w:tcBorders>
                          <w:top w:val="outset" w:sz="6" w:space="0" w:color="auto"/>
                          <w:left w:val="outset" w:sz="6" w:space="0" w:color="auto"/>
                          <w:bottom w:val="outset" w:sz="6" w:space="0" w:color="auto"/>
                          <w:right w:val="outset" w:sz="6" w:space="0" w:color="auto"/>
                        </w:tcBorders>
                        <w:shd w:val="clear" w:color="auto" w:fill="A3DAFF"/>
                        <w:hideMark/>
                      </w:tcPr>
                      <w:p w:rsidR="00516C09" w:rsidRPr="00612437" w:rsidP="00612437" w14:paraId="32FCD0DC" w14:textId="77777777">
                        <w:pPr>
                          <w:spacing w:after="0"/>
                          <w:jc w:val="both"/>
                          <w:rPr>
                            <w:rFonts w:ascii="Arial" w:eastAsia="Calibri" w:hAnsi="Arial" w:cs="Arial"/>
                            <w:sz w:val="16"/>
                            <w:szCs w:val="16"/>
                            <w:lang w:val="nl-NL"/>
                          </w:rPr>
                        </w:pPr>
                        <w:r w:rsidRPr="00612437">
                          <w:rPr>
                            <w:rFonts w:ascii="Arial" w:eastAsia="Calibri" w:hAnsi="Arial" w:cs="Arial"/>
                            <w:sz w:val="16"/>
                            <w:szCs w:val="16"/>
                            <w:lang w:val="nl-NL"/>
                          </w:rPr>
                          <w:t> </w:t>
                        </w:r>
                      </w:p>
                    </w:tc>
                    <w:tc>
                      <w:tcPr>
                        <w:tcW w:w="4152" w:type="dxa"/>
                        <w:tcBorders>
                          <w:top w:val="outset" w:sz="6" w:space="0" w:color="auto"/>
                          <w:left w:val="outset" w:sz="6" w:space="0" w:color="auto"/>
                          <w:bottom w:val="outset" w:sz="6" w:space="0" w:color="auto"/>
                          <w:right w:val="outset" w:sz="6" w:space="0" w:color="auto"/>
                        </w:tcBorders>
                        <w:shd w:val="clear" w:color="auto" w:fill="A3DAFF"/>
                        <w:hideMark/>
                      </w:tcPr>
                      <w:p w:rsidR="00516C09" w:rsidRPr="00612437" w:rsidP="00612437" w14:paraId="27E5467D" w14:textId="77777777">
                        <w:pPr>
                          <w:spacing w:after="0"/>
                          <w:jc w:val="both"/>
                          <w:rPr>
                            <w:rFonts w:ascii="Arial" w:eastAsia="Calibri" w:hAnsi="Arial" w:cs="Arial"/>
                            <w:sz w:val="16"/>
                            <w:szCs w:val="16"/>
                            <w:lang w:val="nl-NL"/>
                          </w:rPr>
                        </w:pPr>
                        <w:r w:rsidRPr="00612437">
                          <w:rPr>
                            <w:rFonts w:ascii="Arial" w:eastAsia="Calibri" w:hAnsi="Arial" w:cs="Arial"/>
                            <w:sz w:val="16"/>
                            <w:szCs w:val="16"/>
                            <w:lang w:val="nl-NL"/>
                          </w:rPr>
                          <w:t>Gemiddeld rendement per jaar</w:t>
                        </w:r>
                      </w:p>
                    </w:tc>
                    <w:tc>
                      <w:tcPr>
                        <w:tcW w:w="1028" w:type="dxa"/>
                        <w:tcBorders>
                          <w:top w:val="outset" w:sz="6" w:space="0" w:color="auto"/>
                          <w:left w:val="outset" w:sz="6" w:space="0" w:color="auto"/>
                          <w:bottom w:val="outset" w:sz="6" w:space="0" w:color="auto"/>
                          <w:right w:val="outset" w:sz="6" w:space="0" w:color="auto"/>
                        </w:tcBorders>
                        <w:shd w:val="clear" w:color="auto" w:fill="A3DAFF"/>
                        <w:hideMark/>
                      </w:tcPr>
                      <w:p w:rsidR="00516C09" w:rsidRPr="00612437" w:rsidP="00612437" w14:paraId="21CDF697" w14:textId="438728AA">
                        <w:pPr>
                          <w:spacing w:after="0"/>
                          <w:jc w:val="center"/>
                          <w:rPr>
                            <w:rFonts w:ascii="Arial" w:eastAsia="Calibri" w:hAnsi="Arial" w:cs="Arial"/>
                            <w:sz w:val="16"/>
                            <w:szCs w:val="16"/>
                            <w:lang w:val="nl-NL"/>
                          </w:rPr>
                        </w:pPr>
                        <w:r>
                          <w:rPr>
                            <w:rFonts w:ascii="Arial" w:eastAsia="Times New Roman" w:hAnsi="Arial" w:cs="Arial"/>
                            <w:sz w:val="16"/>
                            <w:szCs w:val="16"/>
                            <w:lang w:val="nl-NL" w:eastAsia="nl-NL"/>
                          </w:rPr>
                          <w:t>[●]</w:t>
                        </w:r>
                        <w:r w:rsidRPr="00612437">
                          <w:rPr>
                            <w:rFonts w:ascii="Arial" w:eastAsia="Times New Roman" w:hAnsi="Arial" w:cs="Arial"/>
                            <w:sz w:val="16"/>
                            <w:szCs w:val="16"/>
                            <w:lang w:val="nl-NL" w:eastAsia="nl-NL"/>
                          </w:rPr>
                          <w:t>%</w:t>
                        </w:r>
                      </w:p>
                    </w:tc>
                    <w:tc>
                      <w:tcPr>
                        <w:tcW w:w="1482" w:type="dxa"/>
                        <w:tcBorders>
                          <w:top w:val="outset" w:sz="6" w:space="0" w:color="auto"/>
                          <w:left w:val="outset" w:sz="6" w:space="0" w:color="auto"/>
                          <w:bottom w:val="outset" w:sz="6" w:space="0" w:color="auto"/>
                          <w:right w:val="outset" w:sz="6" w:space="0" w:color="auto"/>
                        </w:tcBorders>
                        <w:shd w:val="clear" w:color="auto" w:fill="A3DAFF"/>
                        <w:hideMark/>
                      </w:tcPr>
                      <w:p w:rsidR="00516C09" w:rsidRPr="00612437" w:rsidP="00612437" w14:paraId="7579B5C6" w14:textId="4FCB99F3">
                        <w:pPr>
                          <w:spacing w:after="0"/>
                          <w:jc w:val="center"/>
                          <w:rPr>
                            <w:rFonts w:ascii="Arial" w:eastAsia="Calibri" w:hAnsi="Arial" w:cs="Arial"/>
                            <w:sz w:val="16"/>
                            <w:szCs w:val="16"/>
                            <w:lang w:val="nl-NL"/>
                          </w:rPr>
                        </w:pPr>
                        <w:r>
                          <w:rPr>
                            <w:rFonts w:ascii="Arial" w:eastAsia="Times New Roman" w:hAnsi="Arial" w:cs="Arial"/>
                            <w:sz w:val="16"/>
                            <w:szCs w:val="16"/>
                            <w:lang w:val="nl-NL" w:eastAsia="nl-NL"/>
                          </w:rPr>
                          <w:t>[●]</w:t>
                        </w:r>
                        <w:r w:rsidRPr="00612437">
                          <w:rPr>
                            <w:rFonts w:ascii="Arial" w:eastAsia="Times New Roman" w:hAnsi="Arial" w:cs="Arial"/>
                            <w:sz w:val="16"/>
                            <w:szCs w:val="16"/>
                            <w:lang w:val="nl-NL" w:eastAsia="nl-NL"/>
                          </w:rPr>
                          <w:t>%</w:t>
                        </w:r>
                      </w:p>
                    </w:tc>
                    <w:tc>
                      <w:tcPr>
                        <w:tcW w:w="1146" w:type="dxa"/>
                        <w:tcBorders>
                          <w:top w:val="outset" w:sz="6" w:space="0" w:color="auto"/>
                          <w:left w:val="outset" w:sz="6" w:space="0" w:color="auto"/>
                          <w:bottom w:val="outset" w:sz="6" w:space="0" w:color="auto"/>
                          <w:right w:val="outset" w:sz="6" w:space="0" w:color="auto"/>
                        </w:tcBorders>
                        <w:shd w:val="clear" w:color="auto" w:fill="A3DAFF"/>
                        <w:hideMark/>
                      </w:tcPr>
                      <w:p w:rsidR="00516C09" w:rsidRPr="00612437" w:rsidP="00612437" w14:paraId="593F729A" w14:textId="6A943D6C">
                        <w:pPr>
                          <w:spacing w:after="0"/>
                          <w:jc w:val="center"/>
                          <w:rPr>
                            <w:rFonts w:ascii="Arial" w:eastAsia="Calibri" w:hAnsi="Arial" w:cs="Arial"/>
                            <w:sz w:val="16"/>
                            <w:szCs w:val="16"/>
                            <w:lang w:val="nl-NL"/>
                          </w:rPr>
                        </w:pPr>
                        <w:r>
                          <w:rPr>
                            <w:rFonts w:ascii="Arial" w:eastAsia="Times New Roman" w:hAnsi="Arial" w:cs="Arial"/>
                            <w:sz w:val="16"/>
                            <w:szCs w:val="16"/>
                            <w:lang w:val="nl-NL" w:eastAsia="nl-NL"/>
                          </w:rPr>
                          <w:t>[●]</w:t>
                        </w:r>
                        <w:r w:rsidRPr="00612437">
                          <w:rPr>
                            <w:rFonts w:ascii="Arial" w:eastAsia="Times New Roman" w:hAnsi="Arial" w:cs="Arial"/>
                            <w:sz w:val="16"/>
                            <w:szCs w:val="16"/>
                            <w:lang w:val="nl-NL" w:eastAsia="nl-NL"/>
                          </w:rPr>
                          <w:t>%</w:t>
                        </w:r>
                      </w:p>
                    </w:tc>
                  </w:tr>
                </w:tbl>
                <w:p w:rsidR="00516C09" w:rsidRPr="00EE3C5B" w:rsidP="009327E3" w14:paraId="2747C246" w14:textId="59B020F9">
                  <w:pPr>
                    <w:spacing w:before="40" w:after="40"/>
                    <w:ind w:left="-64"/>
                    <w:jc w:val="both"/>
                    <w:rPr>
                      <w:sz w:val="20"/>
                      <w:szCs w:val="20"/>
                      <w:lang w:val="nl-NL"/>
                    </w:rPr>
                  </w:pPr>
                  <w:r w:rsidRPr="009327E3">
                    <w:rPr>
                      <w:sz w:val="20"/>
                      <w:szCs w:val="20"/>
                      <w:lang w:val="nl-NL"/>
                    </w:rPr>
                    <w:t>[Dit product kan niet worden ingekocht en niet eenvoudig worden verkocht. Dat betekent dat het lastig is in te schatten hoeveel u zou terugkrijgen als u besluit tot verkoop vóór [het einde van de aanbevolen periode van bezit/de vervaldatum]. Eerder verkopen is niet of alleen tegen hoge kosten of met een groot verlies mogelijk.]</w:t>
                  </w:r>
                  <w:r>
                    <w:rPr>
                      <w:sz w:val="20"/>
                      <w:szCs w:val="20"/>
                      <w:lang w:val="nl-NL"/>
                    </w:rPr>
                    <w:t xml:space="preserve"> </w:t>
                  </w:r>
                  <w:r w:rsidRPr="00CE4E33">
                    <w:rPr>
                      <w:sz w:val="20"/>
                      <w:szCs w:val="20"/>
                      <w:lang w:val="nl-NL"/>
                    </w:rPr>
                    <w:t>De weergegeven bedragen zijn inclusief alle kosten van het product zelf, maar mogelijk niet inclusief alle kosten die u betaalt aan uw adviseur of distributeur/en inclusief de kosten van uw adviseur of distributeur. In de bedragen is geen rekening gehouden met uw persoonlijke fiscale situatie, die eveneens van invloed kan zijn op hoeveel u terugkrijgt.</w:t>
                  </w:r>
                  <w:r>
                    <w:rPr>
                      <w:rStyle w:val="EndnoteReference"/>
                      <w:sz w:val="20"/>
                      <w:szCs w:val="20"/>
                      <w:lang w:val="nl-NL"/>
                    </w:rPr>
                    <w:endnoteReference w:id="25"/>
                  </w:r>
                  <w:r>
                    <w:rPr>
                      <w:sz w:val="20"/>
                      <w:szCs w:val="20"/>
                      <w:lang w:val="nl-NL"/>
                    </w:rPr>
                    <w:t xml:space="preserve"> [</w:t>
                  </w:r>
                  <w:r w:rsidRPr="001B54D3">
                    <w:rPr>
                      <w:caps/>
                      <w:sz w:val="20"/>
                      <w:szCs w:val="20"/>
                      <w:lang w:val="nl-NL"/>
                    </w:rPr>
                    <w:t>korte toelichting van de weergegeven scenario’s met een maximum van 300 tekens in gewone taal</w:t>
                  </w:r>
                  <w:r>
                    <w:rPr>
                      <w:sz w:val="20"/>
                      <w:szCs w:val="20"/>
                      <w:lang w:val="nl-NL"/>
                    </w:rPr>
                    <w:t>]</w:t>
                  </w:r>
                  <w:r>
                    <w:rPr>
                      <w:rStyle w:val="EndnoteReference"/>
                      <w:sz w:val="20"/>
                      <w:szCs w:val="20"/>
                      <w:lang w:val="nl-NL"/>
                    </w:rPr>
                    <w:endnoteReference w:id="26"/>
                  </w:r>
                </w:p>
              </w:tc>
            </w:tr>
          </w:tbl>
          <w:p w:rsidR="00EE3C5B" w:rsidRPr="00EE3C5B" w:rsidP="003A7C21" w14:paraId="03B75036" w14:textId="38E568A1">
            <w:pPr>
              <w:spacing w:before="40" w:after="40"/>
              <w:rPr>
                <w:b w:val="0"/>
                <w:bCs w:val="0"/>
                <w:sz w:val="24"/>
                <w:szCs w:val="24"/>
                <w:lang w:val="nl-NL"/>
              </w:rPr>
            </w:pPr>
          </w:p>
        </w:tc>
      </w:tr>
      <w:tr w14:paraId="38958E75" w14:textId="77777777" w:rsidTr="00F8743E">
        <w:tblPrEx>
          <w:tblW w:w="10065" w:type="dxa"/>
          <w:tblInd w:w="-431" w:type="dxa"/>
          <w:tblLook w:val="04A0"/>
        </w:tblPrEx>
        <w:tc>
          <w:tcPr>
            <w:tcW w:w="10065" w:type="dxa"/>
            <w:shd w:val="clear" w:color="auto" w:fill="FFFFFF" w:themeFill="background1"/>
          </w:tcPr>
          <w:p w:rsidR="00F76515" w:rsidRPr="000A3D40" w:rsidP="005979DD" w14:paraId="30665256" w14:textId="77777777">
            <w:pPr>
              <w:spacing w:before="40" w:after="40"/>
              <w:jc w:val="both"/>
              <w:rPr>
                <w:sz w:val="24"/>
                <w:szCs w:val="24"/>
                <w:lang w:val="nl-NL"/>
              </w:rPr>
            </w:pPr>
            <w:r w:rsidRPr="000A3D40">
              <w:rPr>
                <w:sz w:val="24"/>
                <w:szCs w:val="24"/>
                <w:lang w:val="nl-NL"/>
              </w:rPr>
              <w:t>Wat gebeurt er als de Beheerder niet kan uitbetalen?</w:t>
            </w:r>
          </w:p>
          <w:p w:rsidR="00F76515" w:rsidRPr="000A3D40" w:rsidP="00106A75" w14:paraId="246B046D" w14:textId="6F7D382D">
            <w:pPr>
              <w:spacing w:before="40" w:after="40"/>
              <w:jc w:val="both"/>
              <w:rPr>
                <w:b w:val="0"/>
                <w:sz w:val="20"/>
                <w:szCs w:val="20"/>
                <w:lang w:val="nl-NL"/>
              </w:rPr>
            </w:pPr>
            <w:r w:rsidRPr="000A3D40">
              <w:rPr>
                <w:b w:val="0"/>
                <w:sz w:val="20"/>
                <w:szCs w:val="20"/>
                <w:lang w:val="nl-NL"/>
              </w:rPr>
              <w:t xml:space="preserve">U kunt financieel verlies lijden als gevolg van wanbetaling </w:t>
            </w:r>
            <w:r w:rsidR="000A3D40">
              <w:rPr>
                <w:b w:val="0"/>
                <w:sz w:val="20"/>
                <w:szCs w:val="20"/>
                <w:lang w:val="nl-NL"/>
              </w:rPr>
              <w:t>van</w:t>
            </w:r>
            <w:r w:rsidRPr="000A3D40">
              <w:rPr>
                <w:b w:val="0"/>
                <w:sz w:val="20"/>
                <w:szCs w:val="20"/>
                <w:lang w:val="nl-NL"/>
              </w:rPr>
              <w:t xml:space="preserve"> de Beheerder of het Fonds. Dit verlies is niet gedekt door een compensatie- of waarborgregeling voor beleggers.</w:t>
            </w:r>
          </w:p>
        </w:tc>
      </w:tr>
      <w:tr w14:paraId="32A13404" w14:textId="77777777" w:rsidTr="00F8743E">
        <w:tblPrEx>
          <w:tblW w:w="10065" w:type="dxa"/>
          <w:tblInd w:w="-431" w:type="dxa"/>
          <w:tblLook w:val="04A0"/>
        </w:tblPrEx>
        <w:tc>
          <w:tcPr>
            <w:tcW w:w="10065" w:type="dxa"/>
            <w:tcBorders>
              <w:bottom w:val="single" w:sz="18" w:space="0" w:color="FFFFFF"/>
            </w:tcBorders>
            <w:shd w:val="clear" w:color="auto" w:fill="FFFFFF" w:themeFill="background1"/>
          </w:tcPr>
          <w:p w:rsidR="00F76515" w:rsidRPr="00496AD9" w:rsidP="005979DD" w14:paraId="34A2A1A1" w14:textId="25A05FF0">
            <w:pPr>
              <w:spacing w:before="40" w:after="40"/>
              <w:jc w:val="both"/>
              <w:rPr>
                <w:sz w:val="24"/>
                <w:szCs w:val="24"/>
                <w:lang w:val="nl-NL"/>
              </w:rPr>
            </w:pPr>
            <w:r w:rsidRPr="00496AD9">
              <w:rPr>
                <w:sz w:val="24"/>
                <w:szCs w:val="24"/>
                <w:lang w:val="nl-NL"/>
              </w:rPr>
              <w:t>Wat zijn de kosten?</w:t>
            </w:r>
            <w:r>
              <w:rPr>
                <w:rStyle w:val="EndnoteReference"/>
                <w:sz w:val="24"/>
                <w:szCs w:val="24"/>
                <w:lang w:val="nl-NL"/>
              </w:rPr>
              <w:endnoteReference w:id="27"/>
            </w:r>
          </w:p>
          <w:p w:rsidR="00496AD9" w:rsidP="005979DD" w14:paraId="384C7701" w14:textId="3D30169B">
            <w:pPr>
              <w:spacing w:before="40" w:after="40"/>
              <w:jc w:val="both"/>
              <w:rPr>
                <w:bCs w:val="0"/>
                <w:sz w:val="20"/>
                <w:szCs w:val="20"/>
                <w:lang w:val="nl-NL"/>
              </w:rPr>
            </w:pPr>
            <w:r w:rsidRPr="00496AD9">
              <w:rPr>
                <w:b w:val="0"/>
                <w:sz w:val="20"/>
                <w:szCs w:val="20"/>
                <w:lang w:val="nl-NL"/>
              </w:rPr>
              <w:t>De persoon die u adviseert over dit product of u dit product verkoopt, brengt u mogelijk andere kosten in rekening.</w:t>
            </w:r>
            <w:r>
              <w:rPr>
                <w:rStyle w:val="EndnoteReference"/>
                <w:b w:val="0"/>
                <w:sz w:val="20"/>
                <w:szCs w:val="20"/>
                <w:lang w:val="nl-NL"/>
              </w:rPr>
              <w:endnoteReference w:id="28"/>
            </w:r>
            <w:r w:rsidRPr="00496AD9">
              <w:rPr>
                <w:b w:val="0"/>
                <w:sz w:val="20"/>
                <w:szCs w:val="20"/>
                <w:lang w:val="nl-NL"/>
              </w:rPr>
              <w:t xml:space="preserve"> In dat geval verstrekt deze persoon u informatie over deze kosten en over de gevolgen ervan voor uw belegging.</w:t>
            </w:r>
          </w:p>
          <w:p w:rsidR="00496AD9" w:rsidRPr="00496AD9" w:rsidP="00496AD9" w14:paraId="11DE235B" w14:textId="0E799433">
            <w:pPr>
              <w:spacing w:before="40" w:after="40"/>
              <w:jc w:val="center"/>
              <w:rPr>
                <w:bCs w:val="0"/>
                <w:i/>
                <w:iCs/>
                <w:sz w:val="20"/>
                <w:szCs w:val="20"/>
                <w:lang w:val="nl-NL"/>
              </w:rPr>
            </w:pPr>
            <w:r w:rsidRPr="00496AD9">
              <w:rPr>
                <w:bCs w:val="0"/>
                <w:i/>
                <w:iCs/>
                <w:sz w:val="20"/>
                <w:szCs w:val="20"/>
                <w:lang w:val="nl-NL"/>
              </w:rPr>
              <w:t>Kosten in de loop van de tijd</w:t>
            </w:r>
          </w:p>
          <w:p w:rsidR="00C6571B" w:rsidP="00D0778B" w14:paraId="7C8EB23A" w14:textId="77777777">
            <w:pPr>
              <w:spacing w:before="40" w:after="40"/>
              <w:jc w:val="both"/>
              <w:rPr>
                <w:bCs w:val="0"/>
                <w:sz w:val="20"/>
                <w:szCs w:val="20"/>
                <w:lang w:val="nl-NL"/>
              </w:rPr>
            </w:pPr>
            <w:r w:rsidRPr="00904F2F">
              <w:rPr>
                <w:b w:val="0"/>
                <w:sz w:val="20"/>
                <w:szCs w:val="20"/>
                <w:lang w:val="nl-NL"/>
              </w:rPr>
              <w:t>De tabellen geven de bedragen weer die uit uw belegging worden gehaald om verschillende soorten kosten te dekken. Deze bedragen variëren naargelang hoeveel u belegt, hoe lang u het product aanhoudt [en hoe goed het product presteert]. De hier weergegeven bedragen zijn illustraties op basis van een voorbeeld van een beleggingsbedrag en verschillende mogelijke beleggingsperioden.</w:t>
            </w:r>
            <w:r w:rsidR="0014663B">
              <w:rPr>
                <w:b w:val="0"/>
                <w:sz w:val="20"/>
                <w:szCs w:val="20"/>
                <w:lang w:val="nl-NL"/>
              </w:rPr>
              <w:t xml:space="preserve"> </w:t>
            </w:r>
          </w:p>
          <w:p w:rsidR="00C6571B" w:rsidP="00D0778B" w14:paraId="656B6347" w14:textId="77777777">
            <w:pPr>
              <w:spacing w:before="40" w:after="40"/>
              <w:jc w:val="both"/>
              <w:rPr>
                <w:bCs w:val="0"/>
                <w:sz w:val="20"/>
                <w:szCs w:val="20"/>
                <w:lang w:val="nl-NL"/>
              </w:rPr>
            </w:pPr>
            <w:r w:rsidRPr="00904F2F">
              <w:rPr>
                <w:b w:val="0"/>
                <w:sz w:val="20"/>
                <w:szCs w:val="20"/>
                <w:lang w:val="nl-NL"/>
              </w:rPr>
              <w:t>We gaan ervan uit dat:</w:t>
            </w:r>
          </w:p>
          <w:p w:rsidR="00C6571B" w:rsidRPr="00C6571B" w:rsidP="00C6571B" w14:paraId="0A76D5E6" w14:textId="77777777">
            <w:pPr>
              <w:pStyle w:val="ListParagraph"/>
              <w:numPr>
                <w:ilvl w:val="0"/>
                <w:numId w:val="7"/>
              </w:numPr>
              <w:spacing w:before="40" w:after="40"/>
              <w:jc w:val="both"/>
              <w:rPr>
                <w:b w:val="0"/>
                <w:bCs w:val="0"/>
                <w:sz w:val="20"/>
                <w:szCs w:val="20"/>
                <w:lang w:val="nl-NL"/>
              </w:rPr>
            </w:pPr>
            <w:r w:rsidRPr="00C6571B">
              <w:rPr>
                <w:b w:val="0"/>
                <w:bCs w:val="0"/>
                <w:sz w:val="20"/>
                <w:szCs w:val="20"/>
                <w:lang w:val="nl-NL"/>
              </w:rPr>
              <w:t>u [in het eerste jaar] het bedrag terugkrijgt dat u hebt belegd (0% jaarrendement)[. Voor de andere perioden van bezit gaan we ervan uit dat het product presteert zoals aangegeven in het gematigde scenario]; en</w:t>
            </w:r>
            <w:r w:rsidRPr="00C6571B" w:rsidR="00D0778B">
              <w:rPr>
                <w:b w:val="0"/>
                <w:bCs w:val="0"/>
                <w:sz w:val="20"/>
                <w:szCs w:val="20"/>
                <w:lang w:val="nl-NL"/>
              </w:rPr>
              <w:t xml:space="preserve"> </w:t>
            </w:r>
          </w:p>
          <w:p w:rsidR="00496AD9" w:rsidRPr="00C6571B" w:rsidP="00C6571B" w14:paraId="69371F26" w14:textId="0BF89E04">
            <w:pPr>
              <w:pStyle w:val="ListParagraph"/>
              <w:numPr>
                <w:ilvl w:val="0"/>
                <w:numId w:val="7"/>
              </w:numPr>
              <w:spacing w:before="40" w:after="40"/>
              <w:jc w:val="both"/>
              <w:rPr>
                <w:b w:val="0"/>
                <w:bCs w:val="0"/>
                <w:sz w:val="20"/>
                <w:szCs w:val="20"/>
                <w:lang w:val="nl-NL"/>
              </w:rPr>
            </w:pPr>
            <w:r w:rsidRPr="00C6571B">
              <w:rPr>
                <w:b w:val="0"/>
                <w:bCs w:val="0"/>
                <w:sz w:val="20"/>
                <w:szCs w:val="20"/>
                <w:lang w:val="nl-NL"/>
              </w:rPr>
              <w:t>€10.000 wordt belegd.</w:t>
            </w:r>
          </w:p>
          <w:tbl>
            <w:tblPr>
              <w:tblW w:w="9812"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2502"/>
              <w:gridCol w:w="2156"/>
              <w:gridCol w:w="2156"/>
              <w:gridCol w:w="2998"/>
            </w:tblGrid>
            <w:tr w14:paraId="62C31599" w14:textId="77777777" w:rsidTr="004142DE">
              <w:tblPrEx>
                <w:tblW w:w="9812"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Ex>
              <w:tc>
                <w:tcPr>
                  <w:tcW w:w="0" w:type="auto"/>
                  <w:tcBorders>
                    <w:top w:val="outset" w:sz="6" w:space="0" w:color="auto"/>
                    <w:left w:val="outset" w:sz="6" w:space="0" w:color="auto"/>
                    <w:bottom w:val="outset" w:sz="6" w:space="0" w:color="auto"/>
                    <w:right w:val="outset" w:sz="6" w:space="0" w:color="auto"/>
                  </w:tcBorders>
                  <w:shd w:val="clear" w:color="auto" w:fill="323E4F"/>
                </w:tcPr>
                <w:p w:rsidR="00904F2F" w:rsidRPr="004142DE" w:rsidP="00904F2F" w14:paraId="0191B9E9" w14:textId="77777777">
                  <w:pPr>
                    <w:spacing w:before="60" w:after="60"/>
                    <w:jc w:val="both"/>
                    <w:rPr>
                      <w:rFonts w:ascii="Arial" w:eastAsia="Calibri" w:hAnsi="Arial" w:cs="Arial"/>
                      <w:b/>
                      <w:bCs/>
                      <w:color w:val="FFFFFF" w:themeColor="background1"/>
                      <w:sz w:val="16"/>
                      <w:szCs w:val="16"/>
                      <w:lang w:val="nl-NL"/>
                    </w:rPr>
                  </w:pPr>
                </w:p>
              </w:tc>
              <w:tc>
                <w:tcPr>
                  <w:tcW w:w="7260" w:type="dxa"/>
                  <w:gridSpan w:val="3"/>
                  <w:tcBorders>
                    <w:top w:val="outset" w:sz="6" w:space="0" w:color="auto"/>
                    <w:left w:val="outset" w:sz="6" w:space="0" w:color="auto"/>
                    <w:bottom w:val="outset" w:sz="6" w:space="0" w:color="auto"/>
                    <w:right w:val="outset" w:sz="6" w:space="0" w:color="auto"/>
                  </w:tcBorders>
                  <w:shd w:val="clear" w:color="auto" w:fill="323E4F"/>
                </w:tcPr>
                <w:p w:rsidR="00904F2F" w:rsidRPr="004142DE" w:rsidP="00904F2F" w14:paraId="4E95C568" w14:textId="77777777">
                  <w:pPr>
                    <w:spacing w:before="60" w:after="60"/>
                    <w:jc w:val="center"/>
                    <w:rPr>
                      <w:rFonts w:ascii="Arial" w:eastAsia="Calibri" w:hAnsi="Arial" w:cs="Arial"/>
                      <w:b/>
                      <w:bCs/>
                      <w:color w:val="FFFFFF" w:themeColor="background1"/>
                      <w:sz w:val="16"/>
                      <w:szCs w:val="16"/>
                      <w:lang w:val="nl-NL"/>
                    </w:rPr>
                  </w:pPr>
                  <w:r w:rsidRPr="004142DE">
                    <w:rPr>
                      <w:rFonts w:ascii="Arial" w:eastAsia="Calibri" w:hAnsi="Arial" w:cs="Arial"/>
                      <w:b/>
                      <w:bCs/>
                      <w:color w:val="FFFFFF" w:themeColor="background1"/>
                      <w:sz w:val="16"/>
                      <w:szCs w:val="16"/>
                      <w:lang w:val="nl-NL"/>
                    </w:rPr>
                    <w:t>Als u uitstapt na:</w:t>
                  </w:r>
                </w:p>
              </w:tc>
            </w:tr>
            <w:tr w14:paraId="4DF1053F" w14:textId="77777777" w:rsidTr="004142DE">
              <w:tblPrEx>
                <w:tblW w:w="9812" w:type="dxa"/>
                <w:shd w:val="clear" w:color="auto" w:fill="FFFFFF"/>
                <w:tblCellMar>
                  <w:top w:w="30" w:type="dxa"/>
                  <w:left w:w="30" w:type="dxa"/>
                  <w:bottom w:w="30" w:type="dxa"/>
                  <w:right w:w="30" w:type="dxa"/>
                </w:tblCellMar>
                <w:tblLook w:val="04A0"/>
              </w:tblPrEx>
              <w:tc>
                <w:tcPr>
                  <w:tcW w:w="0" w:type="auto"/>
                  <w:tcBorders>
                    <w:top w:val="outset" w:sz="6" w:space="0" w:color="auto"/>
                    <w:left w:val="outset" w:sz="6" w:space="0" w:color="auto"/>
                    <w:bottom w:val="outset" w:sz="6" w:space="0" w:color="auto"/>
                    <w:right w:val="outset" w:sz="6" w:space="0" w:color="auto"/>
                  </w:tcBorders>
                  <w:shd w:val="clear" w:color="auto" w:fill="323E4F"/>
                  <w:hideMark/>
                </w:tcPr>
                <w:p w:rsidR="00904F2F" w:rsidRPr="004142DE" w:rsidP="00904F2F" w14:paraId="71208CAF" w14:textId="77777777">
                  <w:pPr>
                    <w:spacing w:before="60" w:after="60"/>
                    <w:jc w:val="both"/>
                    <w:rPr>
                      <w:rFonts w:ascii="Arial" w:eastAsia="Calibri" w:hAnsi="Arial" w:cs="Arial"/>
                      <w:b/>
                      <w:bCs/>
                      <w:color w:val="FFFFFF" w:themeColor="background1"/>
                      <w:sz w:val="16"/>
                      <w:szCs w:val="16"/>
                      <w:lang w:val="nl-NL"/>
                    </w:rPr>
                  </w:pPr>
                  <w:r w:rsidRPr="004142DE">
                    <w:rPr>
                      <w:rFonts w:ascii="Arial" w:eastAsia="Calibri" w:hAnsi="Arial" w:cs="Arial"/>
                      <w:b/>
                      <w:bCs/>
                      <w:color w:val="FFFFFF" w:themeColor="background1"/>
                      <w:sz w:val="16"/>
                      <w:szCs w:val="16"/>
                      <w:lang w:val="nl-NL"/>
                    </w:rPr>
                    <w:t> </w:t>
                  </w:r>
                </w:p>
              </w:tc>
              <w:tc>
                <w:tcPr>
                  <w:tcW w:w="2141" w:type="dxa"/>
                  <w:tcBorders>
                    <w:top w:val="outset" w:sz="6" w:space="0" w:color="auto"/>
                    <w:left w:val="outset" w:sz="6" w:space="0" w:color="auto"/>
                    <w:bottom w:val="outset" w:sz="6" w:space="0" w:color="auto"/>
                    <w:right w:val="outset" w:sz="6" w:space="0" w:color="auto"/>
                  </w:tcBorders>
                  <w:shd w:val="clear" w:color="auto" w:fill="323E4F"/>
                  <w:hideMark/>
                </w:tcPr>
                <w:p w:rsidR="00904F2F" w:rsidRPr="004142DE" w:rsidP="00904F2F" w14:paraId="08C20A51" w14:textId="77777777">
                  <w:pPr>
                    <w:spacing w:before="60" w:after="60"/>
                    <w:jc w:val="center"/>
                    <w:rPr>
                      <w:rFonts w:ascii="Arial" w:eastAsia="Calibri" w:hAnsi="Arial" w:cs="Arial"/>
                      <w:b/>
                      <w:bCs/>
                      <w:color w:val="FFFFFF" w:themeColor="background1"/>
                      <w:sz w:val="16"/>
                      <w:szCs w:val="16"/>
                      <w:lang w:val="nl-NL"/>
                    </w:rPr>
                  </w:pPr>
                  <w:r w:rsidRPr="004142DE">
                    <w:rPr>
                      <w:rFonts w:ascii="Arial" w:eastAsia="Calibri" w:hAnsi="Arial" w:cs="Arial"/>
                      <w:b/>
                      <w:bCs/>
                      <w:color w:val="FFFFFF" w:themeColor="background1"/>
                      <w:sz w:val="16"/>
                      <w:szCs w:val="16"/>
                      <w:lang w:val="nl-NL"/>
                    </w:rPr>
                    <w:t>1 jaar</w:t>
                  </w:r>
                </w:p>
              </w:tc>
              <w:tc>
                <w:tcPr>
                  <w:tcW w:w="2141" w:type="dxa"/>
                  <w:tcBorders>
                    <w:top w:val="outset" w:sz="6" w:space="0" w:color="auto"/>
                    <w:left w:val="outset" w:sz="6" w:space="0" w:color="auto"/>
                    <w:bottom w:val="outset" w:sz="6" w:space="0" w:color="auto"/>
                    <w:right w:val="outset" w:sz="6" w:space="0" w:color="auto"/>
                  </w:tcBorders>
                  <w:shd w:val="clear" w:color="auto" w:fill="323E4F"/>
                  <w:hideMark/>
                </w:tcPr>
                <w:p w:rsidR="00904F2F" w:rsidRPr="004142DE" w:rsidP="00904F2F" w14:paraId="171278E8" w14:textId="484C6C91">
                  <w:pPr>
                    <w:spacing w:before="60" w:after="60"/>
                    <w:jc w:val="center"/>
                    <w:rPr>
                      <w:rFonts w:ascii="Arial" w:eastAsia="Calibri" w:hAnsi="Arial" w:cs="Arial"/>
                      <w:b/>
                      <w:bCs/>
                      <w:color w:val="FFFFFF" w:themeColor="background1"/>
                      <w:sz w:val="16"/>
                      <w:szCs w:val="16"/>
                      <w:lang w:val="nl-NL"/>
                    </w:rPr>
                  </w:pPr>
                  <w:r w:rsidRPr="004142DE">
                    <w:rPr>
                      <w:rFonts w:ascii="Arial" w:eastAsia="Calibri" w:hAnsi="Arial" w:cs="Arial"/>
                      <w:b/>
                      <w:bCs/>
                      <w:color w:val="FFFFFF" w:themeColor="background1"/>
                      <w:sz w:val="16"/>
                      <w:szCs w:val="16"/>
                      <w:lang w:val="nl-NL"/>
                    </w:rPr>
                    <w:t>[5]jaar</w:t>
                  </w:r>
                </w:p>
              </w:tc>
              <w:tc>
                <w:tcPr>
                  <w:tcW w:w="2978" w:type="dxa"/>
                  <w:tcBorders>
                    <w:top w:val="outset" w:sz="6" w:space="0" w:color="auto"/>
                    <w:left w:val="outset" w:sz="6" w:space="0" w:color="auto"/>
                    <w:bottom w:val="outset" w:sz="6" w:space="0" w:color="auto"/>
                    <w:right w:val="outset" w:sz="6" w:space="0" w:color="auto"/>
                  </w:tcBorders>
                  <w:shd w:val="clear" w:color="auto" w:fill="323E4F"/>
                  <w:hideMark/>
                </w:tcPr>
                <w:p w:rsidR="00904F2F" w:rsidRPr="004142DE" w:rsidP="00904F2F" w14:paraId="3AB50797" w14:textId="69A32497">
                  <w:pPr>
                    <w:spacing w:before="60" w:after="60"/>
                    <w:jc w:val="center"/>
                    <w:rPr>
                      <w:rFonts w:ascii="Arial" w:eastAsia="Calibri" w:hAnsi="Arial" w:cs="Arial"/>
                      <w:b/>
                      <w:bCs/>
                      <w:color w:val="FFFFFF" w:themeColor="background1"/>
                      <w:sz w:val="16"/>
                      <w:szCs w:val="16"/>
                      <w:lang w:val="nl-NL"/>
                    </w:rPr>
                  </w:pPr>
                  <w:r w:rsidRPr="004142DE">
                    <w:rPr>
                      <w:rFonts w:ascii="Arial" w:eastAsia="Calibri" w:hAnsi="Arial" w:cs="Arial"/>
                      <w:b/>
                      <w:bCs/>
                      <w:color w:val="FFFFFF" w:themeColor="background1"/>
                      <w:sz w:val="16"/>
                      <w:szCs w:val="16"/>
                      <w:lang w:val="nl-NL"/>
                    </w:rPr>
                    <w:t>[10] jaar</w:t>
                  </w:r>
                </w:p>
              </w:tc>
            </w:tr>
            <w:tr w14:paraId="6443615A" w14:textId="77777777" w:rsidTr="004142DE">
              <w:tblPrEx>
                <w:tblW w:w="9812" w:type="dxa"/>
                <w:shd w:val="clear" w:color="auto" w:fill="FFFFFF"/>
                <w:tblCellMar>
                  <w:top w:w="30" w:type="dxa"/>
                  <w:left w:w="30" w:type="dxa"/>
                  <w:bottom w:w="30" w:type="dxa"/>
                  <w:right w:w="30" w:type="dxa"/>
                </w:tblCellMar>
                <w:tblLook w:val="04A0"/>
              </w:tblPrEx>
              <w:tc>
                <w:tcPr>
                  <w:tcW w:w="0" w:type="auto"/>
                  <w:tcBorders>
                    <w:top w:val="outset" w:sz="6" w:space="0" w:color="auto"/>
                    <w:left w:val="outset" w:sz="6" w:space="0" w:color="auto"/>
                    <w:bottom w:val="outset" w:sz="6" w:space="0" w:color="auto"/>
                    <w:right w:val="outset" w:sz="6" w:space="0" w:color="auto"/>
                  </w:tcBorders>
                  <w:shd w:val="clear" w:color="auto" w:fill="A3DAFF"/>
                  <w:hideMark/>
                </w:tcPr>
                <w:p w:rsidR="00904F2F" w:rsidRPr="00904F2F" w:rsidP="00904F2F" w14:paraId="3263101D" w14:textId="77777777">
                  <w:pPr>
                    <w:spacing w:before="60" w:after="60"/>
                    <w:jc w:val="both"/>
                    <w:rPr>
                      <w:rFonts w:ascii="Arial" w:eastAsia="Calibri" w:hAnsi="Arial" w:cs="Arial"/>
                      <w:sz w:val="16"/>
                      <w:szCs w:val="16"/>
                      <w:lang w:val="nl-NL"/>
                    </w:rPr>
                  </w:pPr>
                  <w:r w:rsidRPr="00904F2F">
                    <w:rPr>
                      <w:rFonts w:ascii="Arial" w:eastAsia="Calibri" w:hAnsi="Arial" w:cs="Arial"/>
                      <w:b/>
                      <w:bCs/>
                      <w:sz w:val="16"/>
                      <w:szCs w:val="16"/>
                      <w:lang w:val="nl-NL"/>
                    </w:rPr>
                    <w:t>Totale kosten</w:t>
                  </w:r>
                </w:p>
              </w:tc>
              <w:tc>
                <w:tcPr>
                  <w:tcW w:w="2141" w:type="dxa"/>
                  <w:tcBorders>
                    <w:top w:val="outset" w:sz="6" w:space="0" w:color="auto"/>
                    <w:left w:val="outset" w:sz="6" w:space="0" w:color="auto"/>
                    <w:bottom w:val="outset" w:sz="6" w:space="0" w:color="auto"/>
                    <w:right w:val="outset" w:sz="6" w:space="0" w:color="auto"/>
                  </w:tcBorders>
                  <w:shd w:val="clear" w:color="auto" w:fill="A3DAFF"/>
                  <w:hideMark/>
                </w:tcPr>
                <w:p w:rsidR="00904F2F" w:rsidRPr="00904F2F" w:rsidP="00904F2F" w14:paraId="1D6DF44A" w14:textId="7027973A">
                  <w:pPr>
                    <w:spacing w:before="60" w:after="60"/>
                    <w:jc w:val="center"/>
                    <w:rPr>
                      <w:rFonts w:ascii="Arial" w:eastAsia="Calibri" w:hAnsi="Arial" w:cs="Arial"/>
                      <w:sz w:val="16"/>
                      <w:szCs w:val="16"/>
                      <w:lang w:val="nl-NL"/>
                    </w:rPr>
                  </w:pPr>
                  <w:r w:rsidRPr="00612437">
                    <w:rPr>
                      <w:rFonts w:ascii="Arial" w:eastAsia="Times New Roman" w:hAnsi="Arial" w:cs="Arial"/>
                      <w:sz w:val="16"/>
                      <w:szCs w:val="16"/>
                      <w:lang w:val="nl-NL" w:eastAsia="nl-NL"/>
                    </w:rPr>
                    <w:t>€</w:t>
                  </w:r>
                  <w:r>
                    <w:rPr>
                      <w:rFonts w:ascii="Arial" w:eastAsia="Times New Roman" w:hAnsi="Arial" w:cs="Arial"/>
                      <w:sz w:val="16"/>
                      <w:szCs w:val="16"/>
                      <w:lang w:val="nl-NL" w:eastAsia="nl-NL"/>
                    </w:rPr>
                    <w:t>[●]</w:t>
                  </w:r>
                </w:p>
              </w:tc>
              <w:tc>
                <w:tcPr>
                  <w:tcW w:w="2141" w:type="dxa"/>
                  <w:tcBorders>
                    <w:top w:val="outset" w:sz="6" w:space="0" w:color="auto"/>
                    <w:left w:val="outset" w:sz="6" w:space="0" w:color="auto"/>
                    <w:bottom w:val="outset" w:sz="6" w:space="0" w:color="auto"/>
                    <w:right w:val="outset" w:sz="6" w:space="0" w:color="auto"/>
                  </w:tcBorders>
                  <w:shd w:val="clear" w:color="auto" w:fill="A3DAFF"/>
                  <w:hideMark/>
                </w:tcPr>
                <w:p w:rsidR="00904F2F" w:rsidRPr="00904F2F" w:rsidP="00904F2F" w14:paraId="1E4186DD" w14:textId="1D513D4F">
                  <w:pPr>
                    <w:spacing w:before="60" w:after="60"/>
                    <w:jc w:val="center"/>
                    <w:rPr>
                      <w:rFonts w:ascii="Arial" w:eastAsia="Calibri" w:hAnsi="Arial" w:cs="Arial"/>
                      <w:sz w:val="16"/>
                      <w:szCs w:val="16"/>
                      <w:lang w:val="nl-NL"/>
                    </w:rPr>
                  </w:pPr>
                  <w:r w:rsidRPr="00612437">
                    <w:rPr>
                      <w:rFonts w:ascii="Arial" w:eastAsia="Times New Roman" w:hAnsi="Arial" w:cs="Arial"/>
                      <w:sz w:val="16"/>
                      <w:szCs w:val="16"/>
                      <w:lang w:val="nl-NL" w:eastAsia="nl-NL"/>
                    </w:rPr>
                    <w:t>€</w:t>
                  </w:r>
                  <w:r>
                    <w:rPr>
                      <w:rFonts w:ascii="Arial" w:eastAsia="Times New Roman" w:hAnsi="Arial" w:cs="Arial"/>
                      <w:sz w:val="16"/>
                      <w:szCs w:val="16"/>
                      <w:lang w:val="nl-NL" w:eastAsia="nl-NL"/>
                    </w:rPr>
                    <w:t>[●]</w:t>
                  </w:r>
                </w:p>
              </w:tc>
              <w:tc>
                <w:tcPr>
                  <w:tcW w:w="2978" w:type="dxa"/>
                  <w:tcBorders>
                    <w:top w:val="outset" w:sz="6" w:space="0" w:color="auto"/>
                    <w:left w:val="outset" w:sz="6" w:space="0" w:color="auto"/>
                    <w:bottom w:val="outset" w:sz="6" w:space="0" w:color="auto"/>
                    <w:right w:val="outset" w:sz="6" w:space="0" w:color="auto"/>
                  </w:tcBorders>
                  <w:shd w:val="clear" w:color="auto" w:fill="A3DAFF"/>
                  <w:hideMark/>
                </w:tcPr>
                <w:p w:rsidR="00904F2F" w:rsidRPr="00904F2F" w:rsidP="00904F2F" w14:paraId="52DF86CE" w14:textId="1ACFA590">
                  <w:pPr>
                    <w:spacing w:before="60" w:after="60"/>
                    <w:jc w:val="center"/>
                    <w:rPr>
                      <w:rFonts w:ascii="Arial" w:eastAsia="Calibri" w:hAnsi="Arial" w:cs="Arial"/>
                      <w:sz w:val="16"/>
                      <w:szCs w:val="16"/>
                      <w:lang w:val="nl-NL"/>
                    </w:rPr>
                  </w:pPr>
                  <w:r w:rsidRPr="00612437">
                    <w:rPr>
                      <w:rFonts w:ascii="Arial" w:eastAsia="Times New Roman" w:hAnsi="Arial" w:cs="Arial"/>
                      <w:sz w:val="16"/>
                      <w:szCs w:val="16"/>
                      <w:lang w:val="nl-NL" w:eastAsia="nl-NL"/>
                    </w:rPr>
                    <w:t>€</w:t>
                  </w:r>
                  <w:r>
                    <w:rPr>
                      <w:rFonts w:ascii="Arial" w:eastAsia="Times New Roman" w:hAnsi="Arial" w:cs="Arial"/>
                      <w:sz w:val="16"/>
                      <w:szCs w:val="16"/>
                      <w:lang w:val="nl-NL" w:eastAsia="nl-NL"/>
                    </w:rPr>
                    <w:t>[●]</w:t>
                  </w:r>
                </w:p>
              </w:tc>
            </w:tr>
            <w:tr w14:paraId="516280CF" w14:textId="77777777" w:rsidTr="004142DE">
              <w:tblPrEx>
                <w:tblW w:w="9812" w:type="dxa"/>
                <w:shd w:val="clear" w:color="auto" w:fill="FFFFFF"/>
                <w:tblCellMar>
                  <w:top w:w="30" w:type="dxa"/>
                  <w:left w:w="30" w:type="dxa"/>
                  <w:bottom w:w="30" w:type="dxa"/>
                  <w:right w:w="30" w:type="dxa"/>
                </w:tblCellMar>
                <w:tblLook w:val="04A0"/>
              </w:tblPrEx>
              <w:tc>
                <w:tcPr>
                  <w:tcW w:w="0" w:type="auto"/>
                  <w:tcBorders>
                    <w:top w:val="outset" w:sz="6" w:space="0" w:color="auto"/>
                    <w:left w:val="outset" w:sz="6" w:space="0" w:color="auto"/>
                    <w:bottom w:val="outset" w:sz="6" w:space="0" w:color="auto"/>
                    <w:right w:val="outset" w:sz="6" w:space="0" w:color="auto"/>
                  </w:tcBorders>
                  <w:shd w:val="clear" w:color="auto" w:fill="A3DAFF"/>
                  <w:hideMark/>
                </w:tcPr>
                <w:p w:rsidR="00904F2F" w:rsidRPr="00904F2F" w:rsidP="00904F2F" w14:paraId="07FAB5B5" w14:textId="77777777">
                  <w:pPr>
                    <w:spacing w:before="60" w:after="60"/>
                    <w:jc w:val="both"/>
                    <w:rPr>
                      <w:rFonts w:ascii="Arial" w:eastAsia="Calibri" w:hAnsi="Arial" w:cs="Arial"/>
                      <w:sz w:val="16"/>
                      <w:szCs w:val="16"/>
                      <w:lang w:val="nl-NL"/>
                    </w:rPr>
                  </w:pPr>
                  <w:r w:rsidRPr="00904F2F">
                    <w:rPr>
                      <w:rFonts w:ascii="Arial" w:eastAsia="Calibri" w:hAnsi="Arial" w:cs="Arial"/>
                      <w:b/>
                      <w:bCs/>
                      <w:sz w:val="16"/>
                      <w:szCs w:val="16"/>
                      <w:lang w:val="nl-NL"/>
                    </w:rPr>
                    <w:t>Effect van de kosten per jaar</w:t>
                  </w:r>
                  <w:r w:rsidRPr="00904F2F">
                    <w:rPr>
                      <w:rFonts w:ascii="Arial" w:eastAsia="Calibri" w:hAnsi="Arial" w:cs="Arial"/>
                      <w:sz w:val="16"/>
                      <w:szCs w:val="16"/>
                      <w:lang w:val="nl-NL"/>
                    </w:rPr>
                    <w:t> </w:t>
                  </w:r>
                  <w:r>
                    <w:fldChar w:fldCharType="begin"/>
                  </w:r>
                  <w:r>
                    <w:instrText xml:space="preserve"> HYPERLINK "https://eur-lex.europa.eu/legal-content/NL/TXT/?uri=CELEX%3A02021R2268-20211220" \l "E0003" </w:instrText>
                  </w:r>
                  <w:r>
                    <w:fldChar w:fldCharType="separate"/>
                  </w:r>
                  <w:r w:rsidRPr="00904F2F">
                    <w:rPr>
                      <w:rFonts w:ascii="Arial" w:eastAsia="Calibri" w:hAnsi="Arial" w:cs="Arial"/>
                      <w:sz w:val="16"/>
                      <w:szCs w:val="16"/>
                      <w:u w:val="single"/>
                      <w:lang w:val="nl-NL"/>
                    </w:rPr>
                    <w:t>(</w:t>
                  </w:r>
                  <w:r w:rsidRPr="00904F2F">
                    <w:rPr>
                      <w:rFonts w:ascii="Arial" w:eastAsia="Calibri" w:hAnsi="Arial" w:cs="Arial"/>
                      <w:sz w:val="16"/>
                      <w:szCs w:val="16"/>
                      <w:u w:val="single"/>
                      <w:vertAlign w:val="superscript"/>
                      <w:lang w:val="nl-NL"/>
                    </w:rPr>
                    <w:t>*1</w:t>
                  </w:r>
                  <w:r w:rsidRPr="00904F2F">
                    <w:rPr>
                      <w:rFonts w:ascii="Arial" w:eastAsia="Calibri" w:hAnsi="Arial" w:cs="Arial"/>
                      <w:sz w:val="16"/>
                      <w:szCs w:val="16"/>
                      <w:u w:val="single"/>
                      <w:lang w:val="nl-NL"/>
                    </w:rPr>
                    <w:t>)</w:t>
                  </w:r>
                  <w:r>
                    <w:fldChar w:fldCharType="end"/>
                  </w:r>
                </w:p>
              </w:tc>
              <w:tc>
                <w:tcPr>
                  <w:tcW w:w="2141" w:type="dxa"/>
                  <w:tcBorders>
                    <w:top w:val="outset" w:sz="6" w:space="0" w:color="auto"/>
                    <w:left w:val="outset" w:sz="6" w:space="0" w:color="auto"/>
                    <w:bottom w:val="outset" w:sz="6" w:space="0" w:color="auto"/>
                    <w:right w:val="outset" w:sz="6" w:space="0" w:color="auto"/>
                  </w:tcBorders>
                  <w:shd w:val="clear" w:color="auto" w:fill="A3DAFF"/>
                  <w:hideMark/>
                </w:tcPr>
                <w:p w:rsidR="00904F2F" w:rsidRPr="00904F2F" w:rsidP="00904F2F" w14:paraId="38198578" w14:textId="024F153B">
                  <w:pPr>
                    <w:spacing w:before="60" w:after="60"/>
                    <w:jc w:val="center"/>
                    <w:rPr>
                      <w:rFonts w:ascii="Arial" w:eastAsia="Calibri" w:hAnsi="Arial" w:cs="Arial"/>
                      <w:sz w:val="16"/>
                      <w:szCs w:val="16"/>
                      <w:lang w:val="nl-NL"/>
                    </w:rPr>
                  </w:pPr>
                  <w:r>
                    <w:rPr>
                      <w:rFonts w:ascii="Arial" w:eastAsia="Times New Roman" w:hAnsi="Arial" w:cs="Arial"/>
                      <w:sz w:val="16"/>
                      <w:szCs w:val="16"/>
                      <w:lang w:val="nl-NL" w:eastAsia="nl-NL"/>
                    </w:rPr>
                    <w:t>[●]</w:t>
                  </w:r>
                  <w:r w:rsidRPr="00612437">
                    <w:rPr>
                      <w:rFonts w:ascii="Arial" w:eastAsia="Times New Roman" w:hAnsi="Arial" w:cs="Arial"/>
                      <w:sz w:val="16"/>
                      <w:szCs w:val="16"/>
                      <w:lang w:val="nl-NL" w:eastAsia="nl-NL"/>
                    </w:rPr>
                    <w:t>%</w:t>
                  </w:r>
                </w:p>
              </w:tc>
              <w:tc>
                <w:tcPr>
                  <w:tcW w:w="2141" w:type="dxa"/>
                  <w:tcBorders>
                    <w:top w:val="outset" w:sz="6" w:space="0" w:color="auto"/>
                    <w:left w:val="outset" w:sz="6" w:space="0" w:color="auto"/>
                    <w:bottom w:val="outset" w:sz="6" w:space="0" w:color="auto"/>
                    <w:right w:val="outset" w:sz="6" w:space="0" w:color="auto"/>
                  </w:tcBorders>
                  <w:shd w:val="clear" w:color="auto" w:fill="A3DAFF"/>
                  <w:hideMark/>
                </w:tcPr>
                <w:p w:rsidR="00904F2F" w:rsidRPr="00904F2F" w:rsidP="00904F2F" w14:paraId="46222695" w14:textId="00FAC820">
                  <w:pPr>
                    <w:spacing w:before="60" w:after="60"/>
                    <w:jc w:val="center"/>
                    <w:rPr>
                      <w:rFonts w:ascii="Arial" w:eastAsia="Calibri" w:hAnsi="Arial" w:cs="Arial"/>
                      <w:sz w:val="16"/>
                      <w:szCs w:val="16"/>
                      <w:lang w:val="nl-NL"/>
                    </w:rPr>
                  </w:pPr>
                  <w:r>
                    <w:rPr>
                      <w:rFonts w:ascii="Arial" w:eastAsia="Times New Roman" w:hAnsi="Arial" w:cs="Arial"/>
                      <w:sz w:val="16"/>
                      <w:szCs w:val="16"/>
                      <w:lang w:val="nl-NL" w:eastAsia="nl-NL"/>
                    </w:rPr>
                    <w:t>[●]</w:t>
                  </w:r>
                  <w:r w:rsidRPr="00612437">
                    <w:rPr>
                      <w:rFonts w:ascii="Arial" w:eastAsia="Times New Roman" w:hAnsi="Arial" w:cs="Arial"/>
                      <w:sz w:val="16"/>
                      <w:szCs w:val="16"/>
                      <w:lang w:val="nl-NL" w:eastAsia="nl-NL"/>
                    </w:rPr>
                    <w:t>%</w:t>
                  </w:r>
                </w:p>
              </w:tc>
              <w:tc>
                <w:tcPr>
                  <w:tcW w:w="2978" w:type="dxa"/>
                  <w:tcBorders>
                    <w:top w:val="outset" w:sz="6" w:space="0" w:color="auto"/>
                    <w:left w:val="outset" w:sz="6" w:space="0" w:color="auto"/>
                    <w:bottom w:val="outset" w:sz="6" w:space="0" w:color="auto"/>
                    <w:right w:val="outset" w:sz="6" w:space="0" w:color="auto"/>
                  </w:tcBorders>
                  <w:shd w:val="clear" w:color="auto" w:fill="A3DAFF"/>
                  <w:hideMark/>
                </w:tcPr>
                <w:p w:rsidR="00904F2F" w:rsidRPr="00904F2F" w:rsidP="00904F2F" w14:paraId="272F01BD" w14:textId="2D1C9360">
                  <w:pPr>
                    <w:spacing w:before="60" w:after="60"/>
                    <w:jc w:val="center"/>
                    <w:rPr>
                      <w:rFonts w:ascii="Arial" w:eastAsia="Calibri" w:hAnsi="Arial" w:cs="Arial"/>
                      <w:sz w:val="16"/>
                      <w:szCs w:val="16"/>
                      <w:lang w:val="nl-NL"/>
                    </w:rPr>
                  </w:pPr>
                  <w:r>
                    <w:rPr>
                      <w:rFonts w:ascii="Arial" w:eastAsia="Times New Roman" w:hAnsi="Arial" w:cs="Arial"/>
                      <w:sz w:val="16"/>
                      <w:szCs w:val="16"/>
                      <w:lang w:val="nl-NL" w:eastAsia="nl-NL"/>
                    </w:rPr>
                    <w:t>[●]</w:t>
                  </w:r>
                  <w:r w:rsidRPr="00612437">
                    <w:rPr>
                      <w:rFonts w:ascii="Arial" w:eastAsia="Times New Roman" w:hAnsi="Arial" w:cs="Arial"/>
                      <w:sz w:val="16"/>
                      <w:szCs w:val="16"/>
                      <w:lang w:val="nl-NL" w:eastAsia="nl-NL"/>
                    </w:rPr>
                    <w:t>%</w:t>
                  </w:r>
                </w:p>
              </w:tc>
            </w:tr>
            <w:tr w14:paraId="26377965" w14:textId="77777777" w:rsidTr="001D301C">
              <w:tblPrEx>
                <w:tblW w:w="9812" w:type="dxa"/>
                <w:shd w:val="clear" w:color="auto" w:fill="FFFFFF"/>
                <w:tblCellMar>
                  <w:top w:w="30" w:type="dxa"/>
                  <w:left w:w="30" w:type="dxa"/>
                  <w:bottom w:w="30" w:type="dxa"/>
                  <w:right w:w="30" w:type="dxa"/>
                </w:tblCellMar>
                <w:tblLook w:val="04A0"/>
              </w:tblPrEx>
              <w:tc>
                <w:tcPr>
                  <w:tcW w:w="9812"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904F2F" w:rsidRPr="00C6571B" w:rsidP="00904F2F" w14:paraId="4AF4542C" w14:textId="77777777">
                  <w:pPr>
                    <w:spacing w:before="60" w:after="60"/>
                    <w:jc w:val="both"/>
                    <w:rPr>
                      <w:rFonts w:ascii="Arial" w:eastAsia="Calibri" w:hAnsi="Arial" w:cs="Arial"/>
                      <w:sz w:val="16"/>
                      <w:szCs w:val="16"/>
                      <w:lang w:val="nl-NL"/>
                    </w:rPr>
                  </w:pPr>
                  <w:r w:rsidRPr="00C6571B">
                    <w:rPr>
                      <w:rFonts w:ascii="Arial" w:eastAsia="Calibri" w:hAnsi="Arial" w:cs="Arial"/>
                      <w:sz w:val="16"/>
                      <w:szCs w:val="16"/>
                      <w:lang w:val="nl-NL"/>
                    </w:rPr>
                    <w:t>(</w:t>
                  </w:r>
                  <w:r w:rsidRPr="00C6571B">
                    <w:rPr>
                      <w:rFonts w:ascii="Arial" w:eastAsia="Calibri" w:hAnsi="Arial" w:cs="Arial"/>
                      <w:sz w:val="16"/>
                      <w:szCs w:val="16"/>
                      <w:vertAlign w:val="superscript"/>
                      <w:lang w:val="nl-NL"/>
                    </w:rPr>
                    <w:t>*1</w:t>
                  </w:r>
                  <w:r w:rsidRPr="00C6571B">
                    <w:rPr>
                      <w:rFonts w:ascii="Arial" w:eastAsia="Calibri" w:hAnsi="Arial" w:cs="Arial"/>
                      <w:sz w:val="16"/>
                      <w:szCs w:val="16"/>
                      <w:lang w:val="nl-NL"/>
                    </w:rPr>
                    <w:t>) Dit illustreert hoe de kosten elk jaar gedurende de periode van bezit uw rendement doen dalen. Hieruit blijkt bijvoorbeeld dat als u uitstapt na de aanbevolen periode van bezit, uw gemiddelde rendement per jaar wordt geraamd op [●]% vóór de kosten en [●]% na de kosten.”.</w:t>
                  </w:r>
                </w:p>
                <w:p w:rsidR="00904F2F" w:rsidRPr="00C6571B" w:rsidP="00904F2F" w14:paraId="1A4E070F" w14:textId="572065FA">
                  <w:pPr>
                    <w:spacing w:before="60" w:after="60"/>
                    <w:jc w:val="both"/>
                    <w:rPr>
                      <w:rFonts w:ascii="Arial" w:eastAsia="Calibri" w:hAnsi="Arial" w:cs="Arial"/>
                      <w:sz w:val="16"/>
                      <w:szCs w:val="16"/>
                      <w:lang w:val="nl-NL"/>
                    </w:rPr>
                  </w:pPr>
                  <w:r w:rsidRPr="00C6571B">
                    <w:rPr>
                      <w:rFonts w:ascii="Arial" w:eastAsia="Calibri" w:hAnsi="Arial" w:cs="Arial"/>
                      <w:sz w:val="16"/>
                      <w:szCs w:val="16"/>
                      <w:lang w:val="nl-NL"/>
                    </w:rPr>
                    <w:t>[Een deel van de kosten kan worden gedeeld met de verkoper van het product om de diensten te dekken die hij u verleent.][Hij zal u informatie verstrekken over het bedrag].</w:t>
                  </w:r>
                </w:p>
                <w:p w:rsidR="00904F2F" w:rsidRPr="00C6571B" w:rsidP="00904F2F" w14:paraId="3E719394" w14:textId="77777777">
                  <w:pPr>
                    <w:spacing w:before="60" w:after="60"/>
                    <w:jc w:val="both"/>
                    <w:rPr>
                      <w:rFonts w:ascii="Arial" w:eastAsia="Calibri" w:hAnsi="Arial" w:cs="Arial"/>
                      <w:sz w:val="16"/>
                      <w:szCs w:val="16"/>
                      <w:lang w:val="nl-NL"/>
                    </w:rPr>
                  </w:pPr>
                  <w:r w:rsidRPr="00C6571B">
                    <w:rPr>
                      <w:rFonts w:ascii="Arial" w:eastAsia="Calibri" w:hAnsi="Arial" w:cs="Arial"/>
                      <w:sz w:val="16"/>
                      <w:szCs w:val="16"/>
                      <w:lang w:val="nl-NL"/>
                    </w:rPr>
                    <w:t>[Deze cijfers omvatten de maximale distributievergoeding die de verkoper van het product u in rekening mag brengen ([●] % van het belegde bedrag / € [●]). Hij zal u informatie verstrekken over de feitelijke distributiekosten.]</w:t>
                  </w:r>
                </w:p>
              </w:tc>
            </w:tr>
          </w:tbl>
          <w:p w:rsidR="00904F2F" w:rsidRPr="00C87923" w:rsidP="005979DD" w14:paraId="007BD79E" w14:textId="3C4EA553">
            <w:pPr>
              <w:spacing w:before="40" w:after="40"/>
              <w:jc w:val="both"/>
              <w:rPr>
                <w:b w:val="0"/>
                <w:sz w:val="20"/>
                <w:szCs w:val="20"/>
                <w:lang w:val="nl-NL"/>
              </w:rPr>
            </w:pPr>
          </w:p>
          <w:p w:rsidR="00904F2F" w:rsidRPr="0086103F" w:rsidP="00904F2F" w14:paraId="02B65FD0" w14:textId="4852C7A0">
            <w:pPr>
              <w:spacing w:before="40" w:after="40"/>
              <w:jc w:val="center"/>
              <w:rPr>
                <w:b w:val="0"/>
                <w:sz w:val="20"/>
                <w:szCs w:val="20"/>
                <w:lang w:val="nl-NL"/>
              </w:rPr>
            </w:pPr>
            <w:r w:rsidRPr="00904F2F">
              <w:rPr>
                <w:bCs w:val="0"/>
                <w:i/>
                <w:iCs/>
                <w:sz w:val="20"/>
                <w:szCs w:val="20"/>
                <w:lang w:val="nl-NL"/>
              </w:rPr>
              <w:t>Samenstelling van de kosten</w:t>
            </w:r>
            <w:r>
              <w:rPr>
                <w:rStyle w:val="EndnoteReference"/>
                <w:bCs w:val="0"/>
                <w:i/>
                <w:iCs/>
                <w:sz w:val="20"/>
                <w:szCs w:val="20"/>
                <w:lang w:val="nl-NL"/>
              </w:rPr>
              <w:endnoteReference w:id="29"/>
            </w:r>
          </w:p>
          <w:tbl>
            <w:tblPr>
              <w:tblW w:w="9812"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1527"/>
              <w:gridCol w:w="7151"/>
              <w:gridCol w:w="1134"/>
            </w:tblGrid>
            <w:tr w14:paraId="5D4D870B" w14:textId="77777777" w:rsidTr="001D71E6">
              <w:tblPrEx>
                <w:tblW w:w="9812"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Ex>
              <w:tc>
                <w:tcPr>
                  <w:tcW w:w="8678" w:type="dxa"/>
                  <w:gridSpan w:val="2"/>
                  <w:tcBorders>
                    <w:top w:val="outset" w:sz="6" w:space="0" w:color="auto"/>
                    <w:left w:val="outset" w:sz="6" w:space="0" w:color="auto"/>
                    <w:bottom w:val="outset" w:sz="6" w:space="0" w:color="auto"/>
                    <w:right w:val="outset" w:sz="6" w:space="0" w:color="auto"/>
                  </w:tcBorders>
                  <w:shd w:val="clear" w:color="auto" w:fill="323E4F"/>
                  <w:hideMark/>
                </w:tcPr>
                <w:p w:rsidR="00BE1D09" w:rsidRPr="004142DE" w:rsidP="00BE1D09" w14:paraId="2F0095B3" w14:textId="41591E18">
                  <w:pPr>
                    <w:spacing w:before="60" w:after="60"/>
                    <w:jc w:val="both"/>
                    <w:rPr>
                      <w:rFonts w:ascii="Arial" w:eastAsia="Calibri" w:hAnsi="Arial" w:cs="Arial"/>
                      <w:b/>
                      <w:bCs/>
                      <w:color w:val="FFFFFF" w:themeColor="background1"/>
                      <w:sz w:val="16"/>
                      <w:szCs w:val="16"/>
                      <w:lang w:val="nl-NL"/>
                    </w:rPr>
                  </w:pPr>
                  <w:r w:rsidRPr="004142DE">
                    <w:rPr>
                      <w:rFonts w:ascii="Arial" w:eastAsia="Calibri" w:hAnsi="Arial" w:cs="Arial"/>
                      <w:b/>
                      <w:bCs/>
                      <w:color w:val="FFFFFF" w:themeColor="background1"/>
                      <w:sz w:val="16"/>
                      <w:szCs w:val="16"/>
                      <w:lang w:val="nl-NL"/>
                    </w:rPr>
                    <w:t>Eenmalige kosten bij in- of uitstap</w:t>
                  </w:r>
                  <w:r>
                    <w:rPr>
                      <w:rStyle w:val="EndnoteReference"/>
                      <w:rFonts w:ascii="Arial" w:eastAsia="Calibri" w:hAnsi="Arial" w:cs="Arial"/>
                      <w:b/>
                      <w:bCs/>
                      <w:color w:val="FFFFFF" w:themeColor="background1"/>
                      <w:sz w:val="16"/>
                      <w:szCs w:val="16"/>
                      <w:lang w:val="nl-NL"/>
                    </w:rPr>
                    <w:endnoteReference w:id="30"/>
                  </w:r>
                </w:p>
              </w:tc>
              <w:tc>
                <w:tcPr>
                  <w:tcW w:w="1134" w:type="dxa"/>
                  <w:tcBorders>
                    <w:top w:val="outset" w:sz="6" w:space="0" w:color="auto"/>
                    <w:left w:val="outset" w:sz="6" w:space="0" w:color="auto"/>
                    <w:bottom w:val="outset" w:sz="6" w:space="0" w:color="auto"/>
                    <w:right w:val="outset" w:sz="6" w:space="0" w:color="auto"/>
                  </w:tcBorders>
                  <w:shd w:val="clear" w:color="auto" w:fill="323E4F"/>
                  <w:hideMark/>
                </w:tcPr>
                <w:p w:rsidR="00BE1D09" w:rsidRPr="004142DE" w:rsidP="00BE1D09" w14:paraId="447BD2A9" w14:textId="77777777">
                  <w:pPr>
                    <w:spacing w:before="60" w:after="60"/>
                    <w:jc w:val="center"/>
                    <w:rPr>
                      <w:rFonts w:ascii="Arial" w:eastAsia="Calibri" w:hAnsi="Arial" w:cs="Arial"/>
                      <w:b/>
                      <w:bCs/>
                      <w:color w:val="FFFFFF" w:themeColor="background1"/>
                      <w:sz w:val="16"/>
                      <w:szCs w:val="16"/>
                      <w:lang w:val="nl-NL"/>
                    </w:rPr>
                  </w:pPr>
                  <w:r w:rsidRPr="004142DE">
                    <w:rPr>
                      <w:rFonts w:ascii="Arial" w:eastAsia="Calibri" w:hAnsi="Arial" w:cs="Arial"/>
                      <w:b/>
                      <w:bCs/>
                      <w:color w:val="FFFFFF" w:themeColor="background1"/>
                      <w:sz w:val="16"/>
                      <w:szCs w:val="16"/>
                      <w:lang w:val="nl-NL"/>
                    </w:rPr>
                    <w:t>Als u uitstapt na 1 jaar</w:t>
                  </w:r>
                </w:p>
              </w:tc>
            </w:tr>
            <w:tr w14:paraId="2BFEAA00" w14:textId="77777777" w:rsidTr="001D71E6">
              <w:tblPrEx>
                <w:tblW w:w="9812" w:type="dxa"/>
                <w:shd w:val="clear" w:color="auto" w:fill="FFFFFF"/>
                <w:tblCellMar>
                  <w:top w:w="30" w:type="dxa"/>
                  <w:left w:w="30" w:type="dxa"/>
                  <w:bottom w:w="30" w:type="dxa"/>
                  <w:right w:w="30" w:type="dxa"/>
                </w:tblCellMar>
                <w:tblLook w:val="04A0"/>
              </w:tblPrEx>
              <w:tc>
                <w:tcPr>
                  <w:tcW w:w="0" w:type="auto"/>
                  <w:tcBorders>
                    <w:top w:val="outset" w:sz="6" w:space="0" w:color="auto"/>
                    <w:left w:val="outset" w:sz="6" w:space="0" w:color="auto"/>
                    <w:bottom w:val="outset" w:sz="6" w:space="0" w:color="auto"/>
                    <w:right w:val="outset" w:sz="6" w:space="0" w:color="auto"/>
                  </w:tcBorders>
                  <w:shd w:val="clear" w:color="auto" w:fill="A3DAFF"/>
                  <w:hideMark/>
                </w:tcPr>
                <w:p w:rsidR="00BE1D09" w:rsidRPr="00507696" w:rsidP="00BE1D09" w14:paraId="02428F2F" w14:textId="77777777">
                  <w:pPr>
                    <w:spacing w:before="60" w:after="60"/>
                    <w:jc w:val="both"/>
                    <w:rPr>
                      <w:rFonts w:ascii="Arial" w:eastAsia="Calibri" w:hAnsi="Arial" w:cs="Arial"/>
                      <w:sz w:val="16"/>
                      <w:szCs w:val="16"/>
                      <w:lang w:val="nl-NL"/>
                    </w:rPr>
                  </w:pPr>
                  <w:r w:rsidRPr="00507696">
                    <w:rPr>
                      <w:rFonts w:ascii="Arial" w:eastAsia="Calibri" w:hAnsi="Arial" w:cs="Arial"/>
                      <w:b/>
                      <w:bCs/>
                      <w:sz w:val="16"/>
                      <w:szCs w:val="16"/>
                      <w:lang w:val="nl-NL"/>
                    </w:rPr>
                    <w:t>Instapkosten</w:t>
                  </w:r>
                </w:p>
              </w:tc>
              <w:tc>
                <w:tcPr>
                  <w:tcW w:w="7151" w:type="dxa"/>
                  <w:tcBorders>
                    <w:top w:val="outset" w:sz="6" w:space="0" w:color="auto"/>
                    <w:left w:val="outset" w:sz="6" w:space="0" w:color="auto"/>
                    <w:bottom w:val="outset" w:sz="6" w:space="0" w:color="auto"/>
                    <w:right w:val="outset" w:sz="6" w:space="0" w:color="auto"/>
                  </w:tcBorders>
                  <w:shd w:val="clear" w:color="auto" w:fill="A3DAFF"/>
                  <w:hideMark/>
                </w:tcPr>
                <w:p w:rsidR="00C6571B" w:rsidRPr="00507696" w:rsidP="00C6571B" w14:paraId="3009DB8F" w14:textId="77777777">
                  <w:pPr>
                    <w:spacing w:before="60" w:after="60"/>
                    <w:jc w:val="both"/>
                    <w:rPr>
                      <w:rFonts w:ascii="Arial" w:eastAsia="Calibri" w:hAnsi="Arial" w:cs="Arial"/>
                      <w:sz w:val="16"/>
                      <w:szCs w:val="16"/>
                      <w:lang w:val="nl-NL"/>
                    </w:rPr>
                  </w:pPr>
                  <w:r w:rsidRPr="00507696">
                    <w:rPr>
                      <w:rFonts w:ascii="Arial" w:eastAsia="Calibri" w:hAnsi="Arial" w:cs="Arial"/>
                      <w:sz w:val="16"/>
                      <w:szCs w:val="16"/>
                      <w:lang w:val="nl-NL"/>
                    </w:rPr>
                    <w:t>[</w:t>
                  </w:r>
                  <w:r w:rsidRPr="00507696">
                    <w:rPr>
                      <w:rFonts w:ascii="Arial" w:eastAsia="Calibri" w:hAnsi="Arial" w:cs="Arial"/>
                      <w:i/>
                      <w:iCs/>
                      <w:sz w:val="16"/>
                      <w:szCs w:val="16"/>
                      <w:lang w:val="nl-NL"/>
                    </w:rPr>
                    <w:t>Beschrijf de aard in maximaal 300 tekens</w:t>
                  </w:r>
                  <w:r w:rsidRPr="00507696">
                    <w:rPr>
                      <w:rFonts w:ascii="Arial" w:eastAsia="Calibri" w:hAnsi="Arial" w:cs="Arial"/>
                      <w:sz w:val="16"/>
                      <w:szCs w:val="16"/>
                      <w:lang w:val="nl-NL"/>
                    </w:rPr>
                    <w:t>. Voorbeelden:</w:t>
                  </w:r>
                </w:p>
                <w:p w:rsidR="00C6571B" w:rsidRPr="00507696" w:rsidP="00C6571B" w14:paraId="0538CBED" w14:textId="2008C977">
                  <w:pPr>
                    <w:pStyle w:val="ListParagraph"/>
                    <w:numPr>
                      <w:ilvl w:val="0"/>
                      <w:numId w:val="6"/>
                    </w:numPr>
                    <w:spacing w:before="60" w:after="60"/>
                    <w:jc w:val="both"/>
                    <w:rPr>
                      <w:rFonts w:ascii="Arial" w:eastAsia="Calibri" w:hAnsi="Arial" w:cs="Arial"/>
                      <w:sz w:val="16"/>
                      <w:szCs w:val="16"/>
                      <w:lang w:val="nl-NL"/>
                    </w:rPr>
                  </w:pPr>
                  <w:r w:rsidRPr="00507696">
                    <w:rPr>
                      <w:rFonts w:ascii="Arial" w:eastAsia="Calibri" w:hAnsi="Arial" w:cs="Arial"/>
                      <w:sz w:val="16"/>
                      <w:szCs w:val="16"/>
                      <w:lang w:val="nl-NL"/>
                    </w:rPr>
                    <w:t>[●]% van het bedrag dat u betaalt wanneer u in deze belegging instapt”</w:t>
                  </w:r>
                </w:p>
                <w:p w:rsidR="00C6571B" w:rsidRPr="00507696" w:rsidP="00C6571B" w14:paraId="6EF407CE" w14:textId="35BE5CE2">
                  <w:pPr>
                    <w:pStyle w:val="ListParagraph"/>
                    <w:numPr>
                      <w:ilvl w:val="0"/>
                      <w:numId w:val="6"/>
                    </w:numPr>
                    <w:spacing w:before="60" w:after="60"/>
                    <w:jc w:val="both"/>
                    <w:rPr>
                      <w:rFonts w:ascii="Arial" w:eastAsia="Calibri" w:hAnsi="Arial" w:cs="Arial"/>
                      <w:sz w:val="16"/>
                      <w:szCs w:val="16"/>
                      <w:lang w:val="nl-NL"/>
                    </w:rPr>
                  </w:pPr>
                  <w:r w:rsidRPr="00507696">
                    <w:rPr>
                      <w:rFonts w:ascii="Arial" w:eastAsia="Calibri" w:hAnsi="Arial" w:cs="Arial"/>
                      <w:sz w:val="16"/>
                      <w:szCs w:val="16"/>
                      <w:lang w:val="nl-NL"/>
                    </w:rPr>
                    <w:t>[●]% van de eerste [] premies die u betaalt”</w:t>
                  </w:r>
                </w:p>
                <w:p w:rsidR="00C6571B" w:rsidRPr="00507696" w:rsidP="00C6571B" w14:paraId="22DC5955" w14:textId="2B84661A">
                  <w:pPr>
                    <w:pStyle w:val="ListParagraph"/>
                    <w:numPr>
                      <w:ilvl w:val="0"/>
                      <w:numId w:val="6"/>
                    </w:numPr>
                    <w:spacing w:before="60" w:after="60"/>
                    <w:jc w:val="both"/>
                    <w:rPr>
                      <w:rFonts w:ascii="Arial" w:eastAsia="Calibri" w:hAnsi="Arial" w:cs="Arial"/>
                      <w:sz w:val="16"/>
                      <w:szCs w:val="16"/>
                      <w:lang w:val="nl-NL"/>
                    </w:rPr>
                  </w:pPr>
                  <w:r w:rsidRPr="00507696">
                    <w:rPr>
                      <w:rFonts w:ascii="Arial" w:eastAsia="Calibri" w:hAnsi="Arial" w:cs="Arial"/>
                      <w:sz w:val="16"/>
                      <w:szCs w:val="16"/>
                      <w:lang w:val="nl-NL"/>
                    </w:rPr>
                    <w:t>“Deze kosten zijn al inbegrepen in de [prijs/premies] die u betaalt”</w:t>
                  </w:r>
                </w:p>
                <w:p w:rsidR="00C6571B" w:rsidRPr="00507696" w:rsidP="00C6571B" w14:paraId="7A5BD024" w14:textId="620E67B9">
                  <w:pPr>
                    <w:pStyle w:val="ListParagraph"/>
                    <w:numPr>
                      <w:ilvl w:val="0"/>
                      <w:numId w:val="6"/>
                    </w:numPr>
                    <w:spacing w:before="60" w:after="60"/>
                    <w:jc w:val="both"/>
                    <w:rPr>
                      <w:rFonts w:ascii="Arial" w:eastAsia="Calibri" w:hAnsi="Arial" w:cs="Arial"/>
                      <w:sz w:val="16"/>
                      <w:szCs w:val="16"/>
                      <w:lang w:val="nl-NL"/>
                    </w:rPr>
                  </w:pPr>
                  <w:r w:rsidRPr="00507696">
                    <w:rPr>
                      <w:rFonts w:ascii="Arial" w:eastAsia="Calibri" w:hAnsi="Arial" w:cs="Arial"/>
                      <w:sz w:val="16"/>
                      <w:szCs w:val="16"/>
                      <w:lang w:val="nl-NL"/>
                    </w:rPr>
                    <w:t>“Hierin zijn de distributiekosten van [</w:t>
                  </w:r>
                  <w:r w:rsidRPr="00507696" w:rsidR="00507696">
                    <w:rPr>
                      <w:rFonts w:ascii="Arial" w:eastAsia="Calibri" w:hAnsi="Arial" w:cs="Arial"/>
                      <w:sz w:val="16"/>
                      <w:szCs w:val="16"/>
                      <w:lang w:val="nl-NL"/>
                    </w:rPr>
                    <w:t>[●]%</w:t>
                  </w:r>
                  <w:r w:rsidRPr="00507696">
                    <w:rPr>
                      <w:rFonts w:ascii="Arial" w:eastAsia="Calibri" w:hAnsi="Arial" w:cs="Arial"/>
                      <w:sz w:val="16"/>
                      <w:szCs w:val="16"/>
                      <w:lang w:val="nl-NL"/>
                    </w:rPr>
                    <w:t xml:space="preserve"> van het belegde bedrag/</w:t>
                  </w:r>
                  <w:r w:rsidRPr="00507696" w:rsidR="00507696">
                    <w:rPr>
                      <w:rFonts w:ascii="Arial" w:eastAsia="Calibri" w:hAnsi="Arial" w:cs="Arial"/>
                      <w:sz w:val="16"/>
                      <w:szCs w:val="16"/>
                      <w:lang w:val="nl-NL"/>
                    </w:rPr>
                    <w:t>€[●]</w:t>
                  </w:r>
                  <w:r w:rsidRPr="00507696">
                    <w:rPr>
                      <w:rFonts w:ascii="Arial" w:eastAsia="Calibri" w:hAnsi="Arial" w:cs="Arial"/>
                      <w:sz w:val="16"/>
                      <w:szCs w:val="16"/>
                      <w:lang w:val="nl-NL"/>
                    </w:rPr>
                    <w:t xml:space="preserve"> inbegrepen] [Dit is het hoogste bedrag dat u in rekening zal worden gebracht] [De verkoper zal u informatie geven welk bedrag feitelijk in rekening wordt gebracht]”</w:t>
                  </w:r>
                </w:p>
                <w:p w:rsidR="00BE1D09" w:rsidRPr="00507696" w:rsidP="00C6571B" w14:paraId="139D648C" w14:textId="77ED5E12">
                  <w:pPr>
                    <w:pStyle w:val="ListParagraph"/>
                    <w:numPr>
                      <w:ilvl w:val="0"/>
                      <w:numId w:val="6"/>
                    </w:numPr>
                    <w:spacing w:before="60" w:after="60"/>
                    <w:jc w:val="both"/>
                    <w:rPr>
                      <w:rFonts w:ascii="Arial" w:eastAsia="Calibri" w:hAnsi="Arial" w:cs="Arial"/>
                      <w:sz w:val="16"/>
                      <w:szCs w:val="16"/>
                      <w:lang w:val="nl-NL"/>
                    </w:rPr>
                  </w:pPr>
                  <w:r w:rsidRPr="00507696">
                    <w:rPr>
                      <w:rFonts w:ascii="Arial" w:eastAsia="Calibri" w:hAnsi="Arial" w:cs="Arial"/>
                      <w:sz w:val="16"/>
                      <w:szCs w:val="16"/>
                      <w:lang w:val="nl-NL"/>
                    </w:rPr>
                    <w:t>“Wij brengen geen instapkosten in rekening”]</w:t>
                  </w:r>
                </w:p>
              </w:tc>
              <w:tc>
                <w:tcPr>
                  <w:tcW w:w="1134" w:type="dxa"/>
                  <w:tcBorders>
                    <w:top w:val="outset" w:sz="6" w:space="0" w:color="auto"/>
                    <w:left w:val="outset" w:sz="6" w:space="0" w:color="auto"/>
                    <w:bottom w:val="outset" w:sz="6" w:space="0" w:color="auto"/>
                    <w:right w:val="outset" w:sz="6" w:space="0" w:color="auto"/>
                  </w:tcBorders>
                  <w:shd w:val="clear" w:color="auto" w:fill="A3DAFF"/>
                  <w:hideMark/>
                </w:tcPr>
                <w:p w:rsidR="00BE1D09" w:rsidRPr="00BE1D09" w:rsidP="00BE1D09" w14:paraId="1827052F" w14:textId="77777777">
                  <w:pPr>
                    <w:spacing w:before="60" w:after="60"/>
                    <w:jc w:val="center"/>
                    <w:rPr>
                      <w:rFonts w:ascii="Arial" w:eastAsia="Calibri" w:hAnsi="Arial" w:cs="Arial"/>
                      <w:sz w:val="16"/>
                      <w:szCs w:val="16"/>
                      <w:lang w:val="nl-NL"/>
                    </w:rPr>
                  </w:pPr>
                  <w:r w:rsidRPr="00507696">
                    <w:rPr>
                      <w:rFonts w:ascii="Arial" w:eastAsia="Calibri" w:hAnsi="Arial" w:cs="Arial"/>
                      <w:sz w:val="16"/>
                      <w:szCs w:val="16"/>
                      <w:lang w:val="nl-NL"/>
                    </w:rPr>
                    <w:t>[Maximaal] €[●]</w:t>
                  </w:r>
                </w:p>
              </w:tc>
            </w:tr>
            <w:tr w14:paraId="742F9389" w14:textId="77777777" w:rsidTr="001D71E6">
              <w:tblPrEx>
                <w:tblW w:w="9812" w:type="dxa"/>
                <w:shd w:val="clear" w:color="auto" w:fill="FFFFFF"/>
                <w:tblCellMar>
                  <w:top w:w="30" w:type="dxa"/>
                  <w:left w:w="30" w:type="dxa"/>
                  <w:bottom w:w="30" w:type="dxa"/>
                  <w:right w:w="30" w:type="dxa"/>
                </w:tblCellMar>
                <w:tblLook w:val="04A0"/>
              </w:tblPrEx>
              <w:tc>
                <w:tcPr>
                  <w:tcW w:w="0" w:type="auto"/>
                  <w:tcBorders>
                    <w:top w:val="outset" w:sz="6" w:space="0" w:color="auto"/>
                    <w:left w:val="outset" w:sz="6" w:space="0" w:color="auto"/>
                    <w:bottom w:val="outset" w:sz="6" w:space="0" w:color="auto"/>
                    <w:right w:val="outset" w:sz="6" w:space="0" w:color="auto"/>
                  </w:tcBorders>
                  <w:shd w:val="clear" w:color="auto" w:fill="A3DAFF"/>
                  <w:hideMark/>
                </w:tcPr>
                <w:p w:rsidR="00BE1D09" w:rsidRPr="00507696" w:rsidP="00BE1D09" w14:paraId="63CC983E" w14:textId="77777777">
                  <w:pPr>
                    <w:spacing w:before="60" w:after="60"/>
                    <w:jc w:val="both"/>
                    <w:rPr>
                      <w:rFonts w:ascii="Arial" w:eastAsia="Calibri" w:hAnsi="Arial" w:cs="Arial"/>
                      <w:sz w:val="16"/>
                      <w:szCs w:val="16"/>
                      <w:lang w:val="nl-NL"/>
                    </w:rPr>
                  </w:pPr>
                  <w:r w:rsidRPr="00507696">
                    <w:rPr>
                      <w:rFonts w:ascii="Arial" w:eastAsia="Calibri" w:hAnsi="Arial" w:cs="Arial"/>
                      <w:b/>
                      <w:bCs/>
                      <w:sz w:val="16"/>
                      <w:szCs w:val="16"/>
                      <w:lang w:val="nl-NL"/>
                    </w:rPr>
                    <w:t>Uitstapkosten</w:t>
                  </w:r>
                </w:p>
              </w:tc>
              <w:tc>
                <w:tcPr>
                  <w:tcW w:w="7151" w:type="dxa"/>
                  <w:tcBorders>
                    <w:top w:val="outset" w:sz="6" w:space="0" w:color="auto"/>
                    <w:left w:val="outset" w:sz="6" w:space="0" w:color="auto"/>
                    <w:bottom w:val="outset" w:sz="6" w:space="0" w:color="auto"/>
                    <w:right w:val="outset" w:sz="6" w:space="0" w:color="auto"/>
                  </w:tcBorders>
                  <w:shd w:val="clear" w:color="auto" w:fill="A3DAFF"/>
                  <w:hideMark/>
                </w:tcPr>
                <w:p w:rsidR="00507696" w:rsidRPr="00507696" w:rsidP="00507696" w14:paraId="3A3A98A6" w14:textId="77777777">
                  <w:pPr>
                    <w:spacing w:before="60" w:after="60"/>
                    <w:jc w:val="both"/>
                    <w:rPr>
                      <w:rFonts w:ascii="Arial" w:eastAsia="Calibri" w:hAnsi="Arial" w:cs="Arial"/>
                      <w:sz w:val="16"/>
                      <w:szCs w:val="16"/>
                      <w:lang w:val="nl-NL"/>
                    </w:rPr>
                  </w:pPr>
                  <w:r w:rsidRPr="00507696">
                    <w:rPr>
                      <w:rFonts w:ascii="Arial" w:eastAsia="Calibri" w:hAnsi="Arial" w:cs="Arial"/>
                      <w:sz w:val="16"/>
                      <w:szCs w:val="16"/>
                      <w:lang w:val="nl-NL"/>
                    </w:rPr>
                    <w:t>[</w:t>
                  </w:r>
                  <w:r w:rsidRPr="00507696">
                    <w:rPr>
                      <w:rFonts w:ascii="Arial" w:eastAsia="Calibri" w:hAnsi="Arial" w:cs="Arial"/>
                      <w:i/>
                      <w:iCs/>
                      <w:sz w:val="16"/>
                      <w:szCs w:val="16"/>
                      <w:lang w:val="nl-NL"/>
                    </w:rPr>
                    <w:t>Beschrijf de aard in maximaal 300 tekens</w:t>
                  </w:r>
                  <w:r w:rsidRPr="00507696">
                    <w:rPr>
                      <w:rFonts w:ascii="Arial" w:eastAsia="Calibri" w:hAnsi="Arial" w:cs="Arial"/>
                      <w:sz w:val="16"/>
                      <w:szCs w:val="16"/>
                      <w:lang w:val="nl-NL"/>
                    </w:rPr>
                    <w:t>. Voorbeelden:</w:t>
                  </w:r>
                </w:p>
                <w:p w:rsidR="00507696" w:rsidRPr="00507696" w:rsidP="00507696" w14:paraId="74FEF284" w14:textId="408A662C">
                  <w:pPr>
                    <w:pStyle w:val="ListParagraph"/>
                    <w:numPr>
                      <w:ilvl w:val="0"/>
                      <w:numId w:val="6"/>
                    </w:numPr>
                    <w:spacing w:before="60" w:after="60"/>
                    <w:jc w:val="both"/>
                    <w:rPr>
                      <w:rFonts w:ascii="Arial" w:eastAsia="Calibri" w:hAnsi="Arial" w:cs="Arial"/>
                      <w:sz w:val="16"/>
                      <w:szCs w:val="16"/>
                      <w:lang w:val="nl-NL"/>
                    </w:rPr>
                  </w:pPr>
                  <w:r w:rsidRPr="00507696">
                    <w:rPr>
                      <w:rFonts w:ascii="Arial" w:eastAsia="Calibri" w:hAnsi="Arial" w:cs="Arial"/>
                      <w:sz w:val="16"/>
                      <w:szCs w:val="16"/>
                      <w:lang w:val="nl-NL"/>
                    </w:rPr>
                    <w:t>[●]% van uw belegging voordat deze aan u wordt uitbetaald”</w:t>
                  </w:r>
                </w:p>
                <w:p w:rsidR="00507696" w:rsidRPr="00507696" w:rsidP="00507696" w14:paraId="73AAA677" w14:textId="78A6F152">
                  <w:pPr>
                    <w:pStyle w:val="ListParagraph"/>
                    <w:numPr>
                      <w:ilvl w:val="0"/>
                      <w:numId w:val="6"/>
                    </w:numPr>
                    <w:spacing w:before="60" w:after="60"/>
                    <w:jc w:val="both"/>
                    <w:rPr>
                      <w:rFonts w:ascii="Arial" w:eastAsia="Calibri" w:hAnsi="Arial" w:cs="Arial"/>
                      <w:sz w:val="16"/>
                      <w:szCs w:val="16"/>
                      <w:lang w:val="nl-NL"/>
                    </w:rPr>
                  </w:pPr>
                  <w:r w:rsidRPr="00507696">
                    <w:rPr>
                      <w:rFonts w:ascii="Arial" w:eastAsia="Calibri" w:hAnsi="Arial" w:cs="Arial"/>
                      <w:sz w:val="16"/>
                      <w:szCs w:val="16"/>
                      <w:lang w:val="nl-NL"/>
                    </w:rPr>
                    <w:t>“Wij brengen voor dit product geen uitstapkosten in rekening, [maar de persoon die u het product verkoopt, doet dat misschien wel]”</w:t>
                  </w:r>
                </w:p>
                <w:p w:rsidR="00BE1D09" w:rsidRPr="00507696" w:rsidP="00507696" w14:paraId="0AD23512" w14:textId="0C0C6CBB">
                  <w:pPr>
                    <w:spacing w:before="60" w:after="60"/>
                    <w:jc w:val="both"/>
                    <w:rPr>
                      <w:rFonts w:ascii="Arial" w:eastAsia="Calibri" w:hAnsi="Arial" w:cs="Arial"/>
                      <w:sz w:val="16"/>
                      <w:szCs w:val="16"/>
                      <w:lang w:val="nl-NL"/>
                    </w:rPr>
                  </w:pPr>
                  <w:r w:rsidRPr="00507696">
                    <w:rPr>
                      <w:rFonts w:ascii="Arial" w:eastAsia="Calibri" w:hAnsi="Arial" w:cs="Arial"/>
                      <w:sz w:val="16"/>
                      <w:szCs w:val="16"/>
                      <w:lang w:val="nl-NL"/>
                    </w:rPr>
                    <w:t>(Wanneer alleen in specifieke omstandigheden uitstapkosten van toepassing zijn)  “Deze kosten zijn alleen van toepassing als (licht de omstandigheden toe of geef een voorbeeld in maximaal 200 tekens)”</w:t>
                  </w:r>
                </w:p>
              </w:tc>
              <w:tc>
                <w:tcPr>
                  <w:tcW w:w="1134" w:type="dxa"/>
                  <w:tcBorders>
                    <w:top w:val="outset" w:sz="6" w:space="0" w:color="auto"/>
                    <w:left w:val="outset" w:sz="6" w:space="0" w:color="auto"/>
                    <w:bottom w:val="outset" w:sz="6" w:space="0" w:color="auto"/>
                    <w:right w:val="outset" w:sz="6" w:space="0" w:color="auto"/>
                  </w:tcBorders>
                  <w:shd w:val="clear" w:color="auto" w:fill="A3DAFF"/>
                  <w:hideMark/>
                </w:tcPr>
                <w:p w:rsidR="00BE1D09" w:rsidRPr="006E40AC" w:rsidP="00BE1D09" w14:paraId="3D4AA884" w14:textId="77777777">
                  <w:pPr>
                    <w:spacing w:before="60" w:after="60"/>
                    <w:jc w:val="center"/>
                    <w:rPr>
                      <w:rFonts w:ascii="Arial" w:eastAsia="Calibri" w:hAnsi="Arial" w:cs="Arial"/>
                      <w:sz w:val="16"/>
                      <w:szCs w:val="16"/>
                      <w:lang w:val="nl-NL"/>
                    </w:rPr>
                  </w:pPr>
                  <w:r w:rsidRPr="006E40AC">
                    <w:rPr>
                      <w:rFonts w:ascii="Arial" w:eastAsia="Calibri" w:hAnsi="Arial" w:cs="Arial"/>
                      <w:sz w:val="16"/>
                      <w:szCs w:val="16"/>
                      <w:lang w:val="nl-NL"/>
                    </w:rPr>
                    <w:t>€[●]</w:t>
                  </w:r>
                </w:p>
              </w:tc>
            </w:tr>
            <w:tr w14:paraId="7A8CF836" w14:textId="77777777" w:rsidTr="001D71E6">
              <w:tblPrEx>
                <w:tblW w:w="9812" w:type="dxa"/>
                <w:shd w:val="clear" w:color="auto" w:fill="FFFFFF"/>
                <w:tblCellMar>
                  <w:top w:w="30" w:type="dxa"/>
                  <w:left w:w="30" w:type="dxa"/>
                  <w:bottom w:w="30" w:type="dxa"/>
                  <w:right w:w="30" w:type="dxa"/>
                </w:tblCellMar>
                <w:tblLook w:val="04A0"/>
              </w:tblPrEx>
              <w:tc>
                <w:tcPr>
                  <w:tcW w:w="9812" w:type="dxa"/>
                  <w:gridSpan w:val="3"/>
                  <w:tcBorders>
                    <w:top w:val="outset" w:sz="6" w:space="0" w:color="auto"/>
                    <w:left w:val="outset" w:sz="6" w:space="0" w:color="auto"/>
                    <w:bottom w:val="outset" w:sz="6" w:space="0" w:color="auto"/>
                    <w:right w:val="outset" w:sz="6" w:space="0" w:color="auto"/>
                  </w:tcBorders>
                  <w:shd w:val="clear" w:color="auto" w:fill="323E4F"/>
                  <w:hideMark/>
                </w:tcPr>
                <w:p w:rsidR="001D71E6" w:rsidRPr="001D71E6" w:rsidP="00BE1D09" w14:paraId="755FE2CE" w14:textId="12D3A7A5">
                  <w:pPr>
                    <w:spacing w:before="60" w:after="60"/>
                    <w:jc w:val="both"/>
                    <w:rPr>
                      <w:rFonts w:ascii="Arial" w:eastAsia="Calibri" w:hAnsi="Arial" w:cs="Arial"/>
                      <w:color w:val="FFFFFF" w:themeColor="background1"/>
                      <w:sz w:val="16"/>
                      <w:szCs w:val="16"/>
                      <w:lang w:val="nl-NL"/>
                    </w:rPr>
                  </w:pPr>
                  <w:r w:rsidRPr="001D71E6">
                    <w:rPr>
                      <w:rFonts w:ascii="Arial" w:eastAsia="Calibri" w:hAnsi="Arial" w:cs="Arial"/>
                      <w:b/>
                      <w:bCs/>
                      <w:color w:val="FFFFFF" w:themeColor="background1"/>
                      <w:sz w:val="16"/>
                      <w:szCs w:val="16"/>
                      <w:lang w:val="nl-NL"/>
                    </w:rPr>
                    <w:t>Lopende kosten [die elk jaar in rekening worden gebracht]</w:t>
                  </w:r>
                </w:p>
              </w:tc>
            </w:tr>
            <w:tr w14:paraId="213BCEB2" w14:textId="77777777" w:rsidTr="001D71E6">
              <w:tblPrEx>
                <w:tblW w:w="9812" w:type="dxa"/>
                <w:shd w:val="clear" w:color="auto" w:fill="FFFFFF"/>
                <w:tblCellMar>
                  <w:top w:w="30" w:type="dxa"/>
                  <w:left w:w="30" w:type="dxa"/>
                  <w:bottom w:w="30" w:type="dxa"/>
                  <w:right w:w="30" w:type="dxa"/>
                </w:tblCellMar>
                <w:tblLook w:val="04A0"/>
              </w:tblPrEx>
              <w:tc>
                <w:tcPr>
                  <w:tcW w:w="0" w:type="auto"/>
                  <w:tcBorders>
                    <w:top w:val="outset" w:sz="6" w:space="0" w:color="auto"/>
                    <w:left w:val="outset" w:sz="6" w:space="0" w:color="auto"/>
                    <w:bottom w:val="outset" w:sz="6" w:space="0" w:color="auto"/>
                    <w:right w:val="outset" w:sz="6" w:space="0" w:color="auto"/>
                  </w:tcBorders>
                  <w:shd w:val="clear" w:color="auto" w:fill="A3DAFF"/>
                  <w:hideMark/>
                </w:tcPr>
                <w:p w:rsidR="00BE1D09" w:rsidRPr="00507696" w:rsidP="00BE1D09" w14:paraId="0D1B27BB" w14:textId="77777777">
                  <w:pPr>
                    <w:spacing w:before="60" w:after="60"/>
                    <w:rPr>
                      <w:rFonts w:ascii="Arial" w:eastAsia="Calibri" w:hAnsi="Arial" w:cs="Arial"/>
                      <w:sz w:val="16"/>
                      <w:szCs w:val="16"/>
                      <w:lang w:val="nl-NL"/>
                    </w:rPr>
                  </w:pPr>
                  <w:r w:rsidRPr="00507696">
                    <w:rPr>
                      <w:rFonts w:ascii="Arial" w:eastAsia="Calibri" w:hAnsi="Arial" w:cs="Arial"/>
                      <w:b/>
                      <w:bCs/>
                      <w:sz w:val="16"/>
                      <w:szCs w:val="16"/>
                      <w:lang w:val="nl-NL"/>
                    </w:rPr>
                    <w:t>Beheerskosten en andere administratie- of exploitatiekosten</w:t>
                  </w:r>
                </w:p>
              </w:tc>
              <w:tc>
                <w:tcPr>
                  <w:tcW w:w="7151" w:type="dxa"/>
                  <w:tcBorders>
                    <w:top w:val="outset" w:sz="6" w:space="0" w:color="auto"/>
                    <w:left w:val="outset" w:sz="6" w:space="0" w:color="auto"/>
                    <w:bottom w:val="outset" w:sz="6" w:space="0" w:color="auto"/>
                    <w:right w:val="outset" w:sz="6" w:space="0" w:color="auto"/>
                  </w:tcBorders>
                  <w:shd w:val="clear" w:color="auto" w:fill="A3DAFF"/>
                  <w:hideMark/>
                </w:tcPr>
                <w:p w:rsidR="00507696" w:rsidRPr="00507696" w:rsidP="00507696" w14:paraId="7D6C9FC2" w14:textId="77777777">
                  <w:pPr>
                    <w:spacing w:before="60" w:after="60"/>
                    <w:jc w:val="both"/>
                    <w:rPr>
                      <w:rFonts w:ascii="Arial" w:eastAsia="Calibri" w:hAnsi="Arial" w:cs="Arial"/>
                      <w:sz w:val="16"/>
                      <w:szCs w:val="16"/>
                      <w:lang w:val="nl-NL"/>
                    </w:rPr>
                  </w:pPr>
                  <w:r w:rsidRPr="00507696">
                    <w:rPr>
                      <w:rFonts w:ascii="Arial" w:eastAsia="Calibri" w:hAnsi="Arial" w:cs="Arial"/>
                      <w:sz w:val="16"/>
                      <w:szCs w:val="16"/>
                      <w:lang w:val="nl-NL"/>
                    </w:rPr>
                    <w:t>[</w:t>
                  </w:r>
                  <w:r w:rsidRPr="00507696">
                    <w:rPr>
                      <w:rFonts w:ascii="Arial" w:eastAsia="Calibri" w:hAnsi="Arial" w:cs="Arial"/>
                      <w:i/>
                      <w:iCs/>
                      <w:sz w:val="16"/>
                      <w:szCs w:val="16"/>
                      <w:lang w:val="nl-NL"/>
                    </w:rPr>
                    <w:t>Beschrijf de grondslag in maximaal 150 tekens</w:t>
                  </w:r>
                  <w:r w:rsidRPr="00507696">
                    <w:rPr>
                      <w:rFonts w:ascii="Arial" w:eastAsia="Calibri" w:hAnsi="Arial" w:cs="Arial"/>
                      <w:sz w:val="16"/>
                      <w:szCs w:val="16"/>
                      <w:lang w:val="nl-NL"/>
                    </w:rPr>
                    <w:t>. Voorbeeld:</w:t>
                  </w:r>
                </w:p>
                <w:p w:rsidR="00507696" w:rsidRPr="00507696" w:rsidP="00507696" w14:paraId="4B39D12F" w14:textId="73BFB812">
                  <w:pPr>
                    <w:spacing w:before="60" w:after="60"/>
                    <w:jc w:val="both"/>
                    <w:rPr>
                      <w:rFonts w:ascii="Arial" w:eastAsia="Calibri" w:hAnsi="Arial" w:cs="Arial"/>
                      <w:sz w:val="16"/>
                      <w:szCs w:val="16"/>
                      <w:lang w:val="nl-NL"/>
                    </w:rPr>
                  </w:pPr>
                  <w:r w:rsidRPr="00507696">
                    <w:rPr>
                      <w:rFonts w:ascii="Arial" w:eastAsia="Calibri" w:hAnsi="Arial" w:cs="Arial"/>
                      <w:sz w:val="16"/>
                      <w:szCs w:val="16"/>
                      <w:lang w:val="nl-NL"/>
                    </w:rPr>
                    <w:t>“[●]% van de waarde van uw belegging per jaar”].</w:t>
                  </w:r>
                </w:p>
                <w:p w:rsidR="00BE1D09" w:rsidRPr="00507696" w:rsidP="00507696" w14:paraId="65CFEB00" w14:textId="041ACDB9">
                  <w:pPr>
                    <w:spacing w:before="60" w:after="60"/>
                    <w:jc w:val="both"/>
                    <w:rPr>
                      <w:rFonts w:ascii="Arial" w:eastAsia="Calibri" w:hAnsi="Arial" w:cs="Arial"/>
                      <w:sz w:val="16"/>
                      <w:szCs w:val="16"/>
                      <w:lang w:val="nl-NL"/>
                    </w:rPr>
                  </w:pPr>
                  <w:r w:rsidRPr="00507696">
                    <w:rPr>
                      <w:rFonts w:ascii="Arial" w:eastAsia="Calibri" w:hAnsi="Arial" w:cs="Arial"/>
                      <w:sz w:val="16"/>
                      <w:szCs w:val="16"/>
                      <w:lang w:val="nl-NL"/>
                    </w:rPr>
                    <w:t>Dit is een schatting op basis van de feitelijke kosten van het afgelopen jaar.</w:t>
                  </w:r>
                </w:p>
              </w:tc>
              <w:tc>
                <w:tcPr>
                  <w:tcW w:w="1134" w:type="dxa"/>
                  <w:tcBorders>
                    <w:top w:val="outset" w:sz="6" w:space="0" w:color="auto"/>
                    <w:left w:val="outset" w:sz="6" w:space="0" w:color="auto"/>
                    <w:bottom w:val="outset" w:sz="6" w:space="0" w:color="auto"/>
                    <w:right w:val="outset" w:sz="6" w:space="0" w:color="auto"/>
                  </w:tcBorders>
                  <w:shd w:val="clear" w:color="auto" w:fill="A3DAFF"/>
                  <w:hideMark/>
                </w:tcPr>
                <w:p w:rsidR="00BE1D09" w:rsidRPr="006E40AC" w:rsidP="00BE1D09" w14:paraId="7477566F" w14:textId="77777777">
                  <w:pPr>
                    <w:spacing w:before="60" w:after="60"/>
                    <w:jc w:val="center"/>
                    <w:rPr>
                      <w:rFonts w:ascii="Arial" w:eastAsia="Calibri" w:hAnsi="Arial" w:cs="Arial"/>
                      <w:sz w:val="16"/>
                      <w:szCs w:val="16"/>
                      <w:lang w:val="nl-NL"/>
                    </w:rPr>
                  </w:pPr>
                  <w:r w:rsidRPr="006E40AC">
                    <w:rPr>
                      <w:rFonts w:ascii="Arial" w:eastAsia="Calibri" w:hAnsi="Arial" w:cs="Arial"/>
                      <w:sz w:val="16"/>
                      <w:szCs w:val="16"/>
                      <w:lang w:val="nl-NL"/>
                    </w:rPr>
                    <w:t>€[●]</w:t>
                  </w:r>
                </w:p>
              </w:tc>
            </w:tr>
            <w:tr w14:paraId="2FB1044C" w14:textId="77777777" w:rsidTr="001D71E6">
              <w:tblPrEx>
                <w:tblW w:w="9812" w:type="dxa"/>
                <w:shd w:val="clear" w:color="auto" w:fill="FFFFFF"/>
                <w:tblCellMar>
                  <w:top w:w="30" w:type="dxa"/>
                  <w:left w:w="30" w:type="dxa"/>
                  <w:bottom w:w="30" w:type="dxa"/>
                  <w:right w:w="30" w:type="dxa"/>
                </w:tblCellMar>
                <w:tblLook w:val="04A0"/>
              </w:tblPrEx>
              <w:tc>
                <w:tcPr>
                  <w:tcW w:w="0" w:type="auto"/>
                  <w:tcBorders>
                    <w:top w:val="outset" w:sz="6" w:space="0" w:color="auto"/>
                    <w:left w:val="outset" w:sz="6" w:space="0" w:color="auto"/>
                    <w:bottom w:val="outset" w:sz="6" w:space="0" w:color="auto"/>
                    <w:right w:val="outset" w:sz="6" w:space="0" w:color="auto"/>
                  </w:tcBorders>
                  <w:shd w:val="clear" w:color="auto" w:fill="A3DAFF"/>
                  <w:hideMark/>
                </w:tcPr>
                <w:p w:rsidR="00BE1D09" w:rsidRPr="00507696" w:rsidP="00BE1D09" w14:paraId="0E754B93" w14:textId="77777777">
                  <w:pPr>
                    <w:spacing w:before="60" w:after="60"/>
                    <w:rPr>
                      <w:rFonts w:ascii="Arial" w:eastAsia="Calibri" w:hAnsi="Arial" w:cs="Arial"/>
                      <w:sz w:val="16"/>
                      <w:szCs w:val="16"/>
                      <w:lang w:val="nl-NL"/>
                    </w:rPr>
                  </w:pPr>
                  <w:r w:rsidRPr="00507696">
                    <w:rPr>
                      <w:rFonts w:ascii="Arial" w:eastAsia="Calibri" w:hAnsi="Arial" w:cs="Arial"/>
                      <w:b/>
                      <w:bCs/>
                      <w:sz w:val="16"/>
                      <w:szCs w:val="16"/>
                      <w:lang w:val="nl-NL"/>
                    </w:rPr>
                    <w:t>Transactiekosten</w:t>
                  </w:r>
                </w:p>
              </w:tc>
              <w:tc>
                <w:tcPr>
                  <w:tcW w:w="7151" w:type="dxa"/>
                  <w:tcBorders>
                    <w:top w:val="outset" w:sz="6" w:space="0" w:color="auto"/>
                    <w:left w:val="outset" w:sz="6" w:space="0" w:color="auto"/>
                    <w:bottom w:val="outset" w:sz="6" w:space="0" w:color="auto"/>
                    <w:right w:val="outset" w:sz="6" w:space="0" w:color="auto"/>
                  </w:tcBorders>
                  <w:shd w:val="clear" w:color="auto" w:fill="A3DAFF"/>
                  <w:hideMark/>
                </w:tcPr>
                <w:p w:rsidR="00BE1D09" w:rsidRPr="00507696" w:rsidP="00BE1D09" w14:paraId="44E0EFC3" w14:textId="23B2E819">
                  <w:pPr>
                    <w:spacing w:before="60" w:after="60"/>
                    <w:jc w:val="both"/>
                    <w:rPr>
                      <w:rFonts w:ascii="Arial" w:eastAsia="Calibri" w:hAnsi="Arial" w:cs="Arial"/>
                      <w:sz w:val="16"/>
                      <w:szCs w:val="16"/>
                      <w:lang w:val="nl-NL"/>
                    </w:rPr>
                  </w:pPr>
                  <w:r w:rsidRPr="00507696">
                    <w:rPr>
                      <w:rFonts w:ascii="Arial" w:eastAsia="Calibri" w:hAnsi="Arial" w:cs="Arial"/>
                      <w:sz w:val="16"/>
                      <w:szCs w:val="16"/>
                      <w:lang w:val="nl-NL"/>
                    </w:rPr>
                    <w:t>[●]% van de waarde van uw belegging per jaar. Dit is een schatting van de kosten die ontstaan wanneer we de onderliggende beleggingen voor het product kopen en verkopen. Het feitelijke bedrag zal variëren naargelang hoeveel we kopen en verkopen</w:t>
                  </w:r>
                  <w:r w:rsidRPr="00507696">
                    <w:rPr>
                      <w:rFonts w:ascii="Arial" w:eastAsia="Calibri" w:hAnsi="Arial" w:cs="Arial"/>
                      <w:sz w:val="16"/>
                      <w:szCs w:val="16"/>
                      <w:lang w:val="nl-NL"/>
                    </w:rPr>
                    <w:t>.</w:t>
                  </w:r>
                </w:p>
              </w:tc>
              <w:tc>
                <w:tcPr>
                  <w:tcW w:w="1134" w:type="dxa"/>
                  <w:tcBorders>
                    <w:top w:val="outset" w:sz="6" w:space="0" w:color="auto"/>
                    <w:left w:val="outset" w:sz="6" w:space="0" w:color="auto"/>
                    <w:bottom w:val="outset" w:sz="6" w:space="0" w:color="auto"/>
                    <w:right w:val="outset" w:sz="6" w:space="0" w:color="auto"/>
                  </w:tcBorders>
                  <w:shd w:val="clear" w:color="auto" w:fill="A3DAFF"/>
                  <w:hideMark/>
                </w:tcPr>
                <w:p w:rsidR="00BE1D09" w:rsidRPr="006E40AC" w:rsidP="00BE1D09" w14:paraId="045AEFE0" w14:textId="77777777">
                  <w:pPr>
                    <w:spacing w:before="60" w:after="60"/>
                    <w:jc w:val="center"/>
                    <w:rPr>
                      <w:rFonts w:ascii="Arial" w:eastAsia="Calibri" w:hAnsi="Arial" w:cs="Arial"/>
                      <w:sz w:val="16"/>
                      <w:szCs w:val="16"/>
                      <w:lang w:val="nl-NL"/>
                    </w:rPr>
                  </w:pPr>
                  <w:r w:rsidRPr="006E40AC">
                    <w:rPr>
                      <w:rFonts w:ascii="Arial" w:eastAsia="Calibri" w:hAnsi="Arial" w:cs="Arial"/>
                      <w:sz w:val="16"/>
                      <w:szCs w:val="16"/>
                      <w:lang w:val="nl-NL"/>
                    </w:rPr>
                    <w:t>€[●]</w:t>
                  </w:r>
                </w:p>
              </w:tc>
            </w:tr>
            <w:tr w14:paraId="23253DF0" w14:textId="77777777" w:rsidTr="001D71E6">
              <w:tblPrEx>
                <w:tblW w:w="9812" w:type="dxa"/>
                <w:shd w:val="clear" w:color="auto" w:fill="FFFFFF"/>
                <w:tblCellMar>
                  <w:top w:w="30" w:type="dxa"/>
                  <w:left w:w="30" w:type="dxa"/>
                  <w:bottom w:w="30" w:type="dxa"/>
                  <w:right w:w="30" w:type="dxa"/>
                </w:tblCellMar>
                <w:tblLook w:val="04A0"/>
              </w:tblPrEx>
              <w:tc>
                <w:tcPr>
                  <w:tcW w:w="9812" w:type="dxa"/>
                  <w:gridSpan w:val="3"/>
                  <w:tcBorders>
                    <w:top w:val="outset" w:sz="6" w:space="0" w:color="auto"/>
                    <w:left w:val="outset" w:sz="6" w:space="0" w:color="auto"/>
                    <w:bottom w:val="outset" w:sz="6" w:space="0" w:color="auto"/>
                    <w:right w:val="outset" w:sz="6" w:space="0" w:color="auto"/>
                  </w:tcBorders>
                  <w:shd w:val="clear" w:color="auto" w:fill="323E4F"/>
                  <w:hideMark/>
                </w:tcPr>
                <w:p w:rsidR="001D71E6" w:rsidRPr="006E40AC" w:rsidP="001D71E6" w14:paraId="26584394" w14:textId="754AC9AC">
                  <w:pPr>
                    <w:spacing w:before="60" w:after="60"/>
                    <w:rPr>
                      <w:rFonts w:ascii="Arial" w:eastAsia="Calibri" w:hAnsi="Arial" w:cs="Arial"/>
                      <w:sz w:val="16"/>
                      <w:szCs w:val="16"/>
                      <w:lang w:val="nl-NL"/>
                    </w:rPr>
                  </w:pPr>
                  <w:r w:rsidRPr="001D71E6">
                    <w:rPr>
                      <w:rFonts w:ascii="Arial" w:eastAsia="Calibri" w:hAnsi="Arial" w:cs="Arial"/>
                      <w:b/>
                      <w:bCs/>
                      <w:color w:val="FFFFFF" w:themeColor="background1"/>
                      <w:sz w:val="16"/>
                      <w:szCs w:val="16"/>
                      <w:lang w:val="nl-NL"/>
                    </w:rPr>
                    <w:t>Incidentele kosten die onder bepaalde voorwaarden in rekening worden gebracht</w:t>
                  </w:r>
                </w:p>
              </w:tc>
            </w:tr>
            <w:tr w14:paraId="39D81B5C" w14:textId="77777777" w:rsidTr="001D71E6">
              <w:tblPrEx>
                <w:tblW w:w="9812" w:type="dxa"/>
                <w:shd w:val="clear" w:color="auto" w:fill="FFFFFF"/>
                <w:tblCellMar>
                  <w:top w:w="30" w:type="dxa"/>
                  <w:left w:w="30" w:type="dxa"/>
                  <w:bottom w:w="30" w:type="dxa"/>
                  <w:right w:w="30" w:type="dxa"/>
                </w:tblCellMar>
                <w:tblLook w:val="04A0"/>
              </w:tblPrEx>
              <w:tc>
                <w:tcPr>
                  <w:tcW w:w="0" w:type="auto"/>
                  <w:tcBorders>
                    <w:top w:val="outset" w:sz="6" w:space="0" w:color="auto"/>
                    <w:left w:val="outset" w:sz="6" w:space="0" w:color="auto"/>
                    <w:bottom w:val="outset" w:sz="6" w:space="0" w:color="auto"/>
                    <w:right w:val="outset" w:sz="6" w:space="0" w:color="auto"/>
                  </w:tcBorders>
                  <w:shd w:val="clear" w:color="auto" w:fill="A3DAFF"/>
                  <w:hideMark/>
                </w:tcPr>
                <w:p w:rsidR="00BE1D09" w:rsidRPr="006E40AC" w:rsidP="008503C6" w14:paraId="66C5EA5D" w14:textId="20E030DB">
                  <w:pPr>
                    <w:spacing w:before="60" w:after="60"/>
                    <w:rPr>
                      <w:rFonts w:ascii="Arial" w:eastAsia="Calibri" w:hAnsi="Arial" w:cs="Arial"/>
                      <w:sz w:val="16"/>
                      <w:szCs w:val="16"/>
                      <w:lang w:val="nl-NL"/>
                    </w:rPr>
                  </w:pPr>
                  <w:r w:rsidRPr="006E40AC">
                    <w:rPr>
                      <w:rFonts w:ascii="Arial" w:eastAsia="Calibri" w:hAnsi="Arial" w:cs="Arial"/>
                      <w:b/>
                      <w:bCs/>
                      <w:sz w:val="16"/>
                      <w:szCs w:val="16"/>
                      <w:lang w:val="nl-NL"/>
                    </w:rPr>
                    <w:t>Prestatie-vergoedingen en carried interest</w:t>
                  </w:r>
                </w:p>
              </w:tc>
              <w:tc>
                <w:tcPr>
                  <w:tcW w:w="7151" w:type="dxa"/>
                  <w:tcBorders>
                    <w:top w:val="outset" w:sz="6" w:space="0" w:color="auto"/>
                    <w:left w:val="outset" w:sz="6" w:space="0" w:color="auto"/>
                    <w:bottom w:val="outset" w:sz="6" w:space="0" w:color="auto"/>
                    <w:right w:val="outset" w:sz="6" w:space="0" w:color="auto"/>
                  </w:tcBorders>
                  <w:shd w:val="clear" w:color="auto" w:fill="A3DAFF"/>
                  <w:hideMark/>
                </w:tcPr>
                <w:p w:rsidR="00BE1D09" w:rsidP="00BE1D09" w14:paraId="11CFAC6E" w14:textId="77777777">
                  <w:pPr>
                    <w:spacing w:before="60" w:after="60"/>
                    <w:jc w:val="both"/>
                    <w:rPr>
                      <w:rFonts w:ascii="Arial" w:eastAsia="Calibri" w:hAnsi="Arial" w:cs="Arial"/>
                      <w:sz w:val="16"/>
                      <w:szCs w:val="16"/>
                      <w:lang w:val="nl-NL"/>
                    </w:rPr>
                  </w:pPr>
                  <w:r w:rsidRPr="006E40AC">
                    <w:rPr>
                      <w:rFonts w:ascii="Arial" w:eastAsia="Calibri" w:hAnsi="Arial" w:cs="Arial"/>
                      <w:sz w:val="16"/>
                      <w:szCs w:val="16"/>
                      <w:lang w:val="nl-NL"/>
                    </w:rPr>
                    <w:t>Er is geen prestatievergoeding voor dit product.</w:t>
                  </w:r>
                  <w:r>
                    <w:rPr>
                      <w:rStyle w:val="EndnoteReference"/>
                      <w:rFonts w:ascii="Arial" w:eastAsia="Calibri" w:hAnsi="Arial" w:cs="Arial"/>
                      <w:sz w:val="16"/>
                      <w:szCs w:val="16"/>
                      <w:lang w:val="nl-NL"/>
                    </w:rPr>
                    <w:endnoteReference w:id="31"/>
                  </w:r>
                </w:p>
                <w:p w:rsidR="008503C6" w:rsidRPr="006E40AC" w:rsidP="00BE1D09" w14:paraId="51BCEB3E" w14:textId="149B8B53">
                  <w:pPr>
                    <w:spacing w:before="60" w:after="60"/>
                    <w:jc w:val="both"/>
                    <w:rPr>
                      <w:rFonts w:ascii="Arial" w:eastAsia="Calibri" w:hAnsi="Arial" w:cs="Arial"/>
                      <w:sz w:val="16"/>
                      <w:szCs w:val="16"/>
                      <w:lang w:val="nl-NL"/>
                    </w:rPr>
                  </w:pPr>
                  <w:r>
                    <w:rPr>
                      <w:rFonts w:ascii="Arial" w:eastAsia="Calibri" w:hAnsi="Arial" w:cs="Arial"/>
                      <w:sz w:val="16"/>
                      <w:szCs w:val="16"/>
                      <w:lang w:val="nl-NL"/>
                    </w:rPr>
                    <w:t>[WEERGAVE CARRIED INTEREST]</w:t>
                  </w:r>
                  <w:r>
                    <w:rPr>
                      <w:rStyle w:val="EndnoteReference"/>
                      <w:rFonts w:ascii="Arial" w:eastAsia="Calibri" w:hAnsi="Arial" w:cs="Arial"/>
                      <w:sz w:val="16"/>
                      <w:szCs w:val="16"/>
                      <w:lang w:val="nl-NL"/>
                    </w:rPr>
                    <w:endnoteReference w:id="32"/>
                  </w:r>
                </w:p>
              </w:tc>
              <w:tc>
                <w:tcPr>
                  <w:tcW w:w="1134" w:type="dxa"/>
                  <w:tcBorders>
                    <w:top w:val="outset" w:sz="6" w:space="0" w:color="auto"/>
                    <w:left w:val="outset" w:sz="6" w:space="0" w:color="auto"/>
                    <w:bottom w:val="outset" w:sz="6" w:space="0" w:color="auto"/>
                    <w:right w:val="outset" w:sz="6" w:space="0" w:color="auto"/>
                  </w:tcBorders>
                  <w:shd w:val="clear" w:color="auto" w:fill="A3DAFF"/>
                  <w:hideMark/>
                </w:tcPr>
                <w:p w:rsidR="000039B7" w:rsidP="00BE1D09" w14:paraId="32FA066F" w14:textId="3CD59FF9">
                  <w:pPr>
                    <w:spacing w:before="60" w:after="60"/>
                    <w:jc w:val="center"/>
                    <w:rPr>
                      <w:rFonts w:ascii="Arial" w:eastAsia="Calibri" w:hAnsi="Arial" w:cs="Arial"/>
                      <w:sz w:val="16"/>
                      <w:szCs w:val="16"/>
                      <w:lang w:val="nl-NL"/>
                    </w:rPr>
                  </w:pPr>
                  <w:r>
                    <w:rPr>
                      <w:rFonts w:ascii="Arial" w:eastAsia="Calibri" w:hAnsi="Arial" w:cs="Arial"/>
                      <w:sz w:val="16"/>
                      <w:szCs w:val="16"/>
                      <w:lang w:val="nl-NL"/>
                    </w:rPr>
                    <w:t>-</w:t>
                  </w:r>
                </w:p>
                <w:p w:rsidR="00BE1D09" w:rsidRPr="006E40AC" w:rsidP="00BE1D09" w14:paraId="57999438" w14:textId="69A67C43">
                  <w:pPr>
                    <w:spacing w:before="60" w:after="60"/>
                    <w:jc w:val="center"/>
                    <w:rPr>
                      <w:rFonts w:ascii="Arial" w:eastAsia="Calibri" w:hAnsi="Arial" w:cs="Arial"/>
                      <w:sz w:val="16"/>
                      <w:szCs w:val="16"/>
                      <w:lang w:val="nl-NL"/>
                    </w:rPr>
                  </w:pPr>
                  <w:r w:rsidRPr="006E40AC">
                    <w:rPr>
                      <w:rFonts w:ascii="Arial" w:eastAsia="Calibri" w:hAnsi="Arial" w:cs="Arial"/>
                      <w:sz w:val="16"/>
                      <w:szCs w:val="16"/>
                      <w:lang w:val="nl-NL"/>
                    </w:rPr>
                    <w:t>€[●]</w:t>
                  </w:r>
                </w:p>
              </w:tc>
            </w:tr>
            <w:tr w14:paraId="37680A17" w14:textId="77777777" w:rsidTr="002B5852">
              <w:tblPrEx>
                <w:tblW w:w="9812" w:type="dxa"/>
                <w:shd w:val="clear" w:color="auto" w:fill="FFFFFF"/>
                <w:tblCellMar>
                  <w:top w:w="30" w:type="dxa"/>
                  <w:left w:w="30" w:type="dxa"/>
                  <w:bottom w:w="30" w:type="dxa"/>
                  <w:right w:w="30" w:type="dxa"/>
                </w:tblCellMar>
                <w:tblLook w:val="04A0"/>
              </w:tblPrEx>
              <w:tc>
                <w:tcPr>
                  <w:tcW w:w="9812" w:type="dxa"/>
                  <w:gridSpan w:val="3"/>
                  <w:tcBorders>
                    <w:top w:val="outset" w:sz="6" w:space="0" w:color="auto"/>
                    <w:left w:val="outset" w:sz="6" w:space="0" w:color="auto"/>
                    <w:bottom w:val="outset" w:sz="6" w:space="0" w:color="auto"/>
                    <w:right w:val="outset" w:sz="6" w:space="0" w:color="auto"/>
                  </w:tcBorders>
                  <w:shd w:val="clear" w:color="auto" w:fill="FFFFFF"/>
                </w:tcPr>
                <w:p w:rsidR="006E40AC" w:rsidRPr="006E40AC" w:rsidP="006E40AC" w14:paraId="16864093" w14:textId="432CF304">
                  <w:pPr>
                    <w:spacing w:before="60" w:after="60"/>
                    <w:rPr>
                      <w:rFonts w:ascii="Arial" w:eastAsia="Calibri" w:hAnsi="Arial" w:cs="Arial"/>
                      <w:sz w:val="16"/>
                      <w:szCs w:val="16"/>
                      <w:lang w:val="nl-NL"/>
                    </w:rPr>
                  </w:pPr>
                  <w:r w:rsidRPr="006E40AC">
                    <w:rPr>
                      <w:rFonts w:ascii="Arial" w:eastAsia="Calibri" w:hAnsi="Arial" w:cs="Arial"/>
                      <w:sz w:val="16"/>
                      <w:szCs w:val="16"/>
                      <w:lang w:val="nl-NL"/>
                    </w:rPr>
                    <w:t>(</w:t>
                  </w:r>
                  <w:r w:rsidRPr="006E40AC">
                    <w:rPr>
                      <w:rFonts w:ascii="Arial" w:eastAsia="Calibri" w:hAnsi="Arial" w:cs="Arial"/>
                      <w:i/>
                      <w:iCs/>
                      <w:sz w:val="16"/>
                      <w:szCs w:val="16"/>
                      <w:lang w:val="nl-NL"/>
                    </w:rPr>
                    <w:t>Indien van toepassing</w:t>
                  </w:r>
                  <w:r w:rsidRPr="006E40AC">
                    <w:rPr>
                      <w:rFonts w:ascii="Arial" w:eastAsia="Calibri" w:hAnsi="Arial" w:cs="Arial"/>
                      <w:sz w:val="16"/>
                      <w:szCs w:val="16"/>
                      <w:lang w:val="nl-NL"/>
                    </w:rPr>
                    <w:t>):  “Naargelang van het beleggingsbedrag zijn verschillende kosten van toepassing [</w:t>
                  </w:r>
                  <w:r w:rsidRPr="006E40AC">
                    <w:rPr>
                      <w:rFonts w:ascii="Arial" w:eastAsia="Calibri" w:hAnsi="Arial" w:cs="Arial"/>
                      <w:i/>
                      <w:iCs/>
                      <w:sz w:val="16"/>
                      <w:szCs w:val="16"/>
                      <w:lang w:val="nl-NL"/>
                    </w:rPr>
                    <w:t>verklaar de omstandigheden of gebruik een voorbeeld in maximaal 150 tekens</w:t>
                  </w:r>
                  <w:r w:rsidRPr="006E40AC">
                    <w:rPr>
                      <w:rFonts w:ascii="Arial" w:eastAsia="Calibri" w:hAnsi="Arial" w:cs="Arial"/>
                      <w:sz w:val="16"/>
                      <w:szCs w:val="16"/>
                      <w:lang w:val="nl-NL"/>
                    </w:rPr>
                    <w:t>]”</w:t>
                  </w:r>
                </w:p>
              </w:tc>
            </w:tr>
          </w:tbl>
          <w:p w:rsidR="00F76515" w:rsidRPr="00DB4F81" w:rsidP="00C8295D" w14:paraId="4087BE6D" w14:textId="7DEAD2B7">
            <w:pPr>
              <w:spacing w:before="40" w:after="40"/>
              <w:jc w:val="both"/>
              <w:rPr>
                <w:b w:val="0"/>
                <w:color w:val="FF0000"/>
                <w:sz w:val="20"/>
                <w:szCs w:val="20"/>
                <w:lang w:val="nl-NL"/>
              </w:rPr>
            </w:pPr>
          </w:p>
        </w:tc>
      </w:tr>
      <w:tr w14:paraId="51B8D316" w14:textId="77777777" w:rsidTr="00F8743E">
        <w:tblPrEx>
          <w:tblW w:w="10065" w:type="dxa"/>
          <w:tblInd w:w="-431" w:type="dxa"/>
          <w:tblLook w:val="04A0"/>
        </w:tblPrEx>
        <w:trPr>
          <w:trHeight w:val="698"/>
        </w:trPr>
        <w:tc>
          <w:tcPr>
            <w:tcW w:w="10065" w:type="dxa"/>
            <w:shd w:val="clear" w:color="auto" w:fill="FFFFFF" w:themeFill="background1"/>
          </w:tcPr>
          <w:p w:rsidR="00F76515" w:rsidRPr="00C87923" w:rsidP="005979DD" w14:paraId="7A12500C" w14:textId="77777777">
            <w:pPr>
              <w:spacing w:before="40" w:after="40"/>
              <w:rPr>
                <w:sz w:val="24"/>
                <w:szCs w:val="24"/>
                <w:lang w:val="nl-NL"/>
              </w:rPr>
            </w:pPr>
            <w:r w:rsidRPr="00C87923">
              <w:rPr>
                <w:sz w:val="24"/>
                <w:szCs w:val="24"/>
                <w:lang w:val="nl-NL"/>
              </w:rPr>
              <w:t>Hoe lang moet ik het houden en kan ik er eerder geld uit halen?</w:t>
            </w:r>
          </w:p>
          <w:p w:rsidR="00F76515" w:rsidRPr="00C87923" w:rsidP="005979DD" w14:paraId="2B95E661" w14:textId="31FD39A9">
            <w:pPr>
              <w:shd w:val="clear" w:color="auto" w:fill="A3DAFF"/>
              <w:spacing w:before="40" w:after="40"/>
              <w:rPr>
                <w:sz w:val="24"/>
                <w:szCs w:val="24"/>
                <w:lang w:val="nl-NL"/>
              </w:rPr>
            </w:pPr>
            <w:r w:rsidRPr="00C87923">
              <w:rPr>
                <w:sz w:val="24"/>
                <w:szCs w:val="24"/>
                <w:lang w:val="nl-NL"/>
              </w:rPr>
              <w:t>V</w:t>
            </w:r>
            <w:r w:rsidRPr="00C87923">
              <w:rPr>
                <w:sz w:val="24"/>
                <w:szCs w:val="24"/>
                <w:lang w:val="nl-NL"/>
              </w:rPr>
              <w:t xml:space="preserve">ereiste </w:t>
            </w:r>
            <w:r w:rsidRPr="00C87923">
              <w:rPr>
                <w:sz w:val="24"/>
                <w:szCs w:val="24"/>
                <w:lang w:val="nl-NL"/>
              </w:rPr>
              <w:t>minimum</w:t>
            </w:r>
            <w:r w:rsidRPr="00C87923">
              <w:rPr>
                <w:sz w:val="24"/>
                <w:szCs w:val="24"/>
                <w:lang w:val="nl-NL"/>
              </w:rPr>
              <w:t>periode van bezit: [10] jaar</w:t>
            </w:r>
          </w:p>
          <w:p w:rsidR="00F76515" w:rsidRPr="00C87923" w:rsidP="0039094A" w14:paraId="7A3155E3" w14:textId="3B3A567F">
            <w:pPr>
              <w:spacing w:before="40" w:after="40"/>
              <w:jc w:val="both"/>
              <w:rPr>
                <w:sz w:val="20"/>
                <w:szCs w:val="20"/>
                <w:lang w:val="nl-NL"/>
              </w:rPr>
            </w:pPr>
            <w:r w:rsidRPr="00C87923">
              <w:rPr>
                <w:b w:val="0"/>
                <w:sz w:val="20"/>
                <w:szCs w:val="20"/>
                <w:lang w:val="nl-NL"/>
              </w:rPr>
              <w:t>De minimaal vereiste periode van bezit is [10] jaar omdat dit de termijn van het Fonds is [behoudens verlenging] en het Fonds geen mogelijkheid van inkoop of inlossing voor die tijd biedt. Overdracht aan derden is [altijd / VOORWAARDEN] mogelijk.</w:t>
            </w:r>
          </w:p>
        </w:tc>
      </w:tr>
      <w:tr w14:paraId="46522614" w14:textId="77777777" w:rsidTr="00F8743E">
        <w:tblPrEx>
          <w:tblW w:w="10065" w:type="dxa"/>
          <w:tblInd w:w="-431" w:type="dxa"/>
          <w:tblLook w:val="04A0"/>
        </w:tblPrEx>
        <w:tc>
          <w:tcPr>
            <w:tcW w:w="10065" w:type="dxa"/>
            <w:shd w:val="clear" w:color="auto" w:fill="FFFFFF" w:themeFill="background1"/>
          </w:tcPr>
          <w:p w:rsidR="00F76515" w:rsidRPr="00C87923" w:rsidP="005979DD" w14:paraId="588BB1AB" w14:textId="77777777">
            <w:pPr>
              <w:spacing w:before="40" w:after="40"/>
              <w:rPr>
                <w:sz w:val="24"/>
                <w:szCs w:val="24"/>
                <w:lang w:val="nl-NL"/>
              </w:rPr>
            </w:pPr>
            <w:r w:rsidRPr="00C87923">
              <w:rPr>
                <w:sz w:val="24"/>
                <w:szCs w:val="24"/>
                <w:lang w:val="nl-NL"/>
              </w:rPr>
              <w:t>Hoe kan ik een klacht indienen?</w:t>
            </w:r>
          </w:p>
          <w:p w:rsidR="00F76515" w:rsidRPr="00C87923" w:rsidP="00D337F5" w14:paraId="5BB4E8C1" w14:textId="022BD640">
            <w:pPr>
              <w:spacing w:before="40" w:after="40"/>
              <w:jc w:val="both"/>
              <w:rPr>
                <w:sz w:val="24"/>
                <w:szCs w:val="24"/>
                <w:lang w:val="nl-NL"/>
              </w:rPr>
            </w:pPr>
            <w:r w:rsidRPr="00C87923">
              <w:rPr>
                <w:b w:val="0"/>
                <w:sz w:val="20"/>
                <w:szCs w:val="20"/>
                <w:lang w:val="nl-NL"/>
              </w:rPr>
              <w:t>Indien u een klacht heeft over het Fonds, over het gedrag van de Beheerder of over het gedrag van een persoon die over het Fonds advies geeft of het product verkoopt, kunt u [DE TE VOLGEN STAPPEN VOOR HET INDIENDEN VAN EEN KLACHT, INCLUSIEF LINK NAAR DESBETREFFENDE WEBSITE VOOR DE KLACHTEN]. Klachten kunnen telefonisch via [TELEFOON NUMMER], per adres Beheerder [ADRES] of via [E-MAIL] ingediend worden bij de Beheerder.</w:t>
            </w:r>
          </w:p>
        </w:tc>
      </w:tr>
      <w:tr w14:paraId="3A0A4EC6" w14:textId="77777777" w:rsidTr="00F8743E">
        <w:tblPrEx>
          <w:tblW w:w="10065" w:type="dxa"/>
          <w:tblInd w:w="-431" w:type="dxa"/>
          <w:tblLook w:val="04A0"/>
        </w:tblPrEx>
        <w:trPr>
          <w:trHeight w:val="698"/>
        </w:trPr>
        <w:tc>
          <w:tcPr>
            <w:tcW w:w="10065" w:type="dxa"/>
            <w:shd w:val="clear" w:color="auto" w:fill="FFFFFF" w:themeFill="background1"/>
          </w:tcPr>
          <w:p w:rsidR="00F76515" w:rsidRPr="00C87923" w:rsidP="005979DD" w14:paraId="387CCF2E" w14:textId="77777777">
            <w:pPr>
              <w:spacing w:before="40" w:after="40"/>
              <w:rPr>
                <w:sz w:val="24"/>
                <w:szCs w:val="24"/>
                <w:lang w:val="nl-NL"/>
              </w:rPr>
            </w:pPr>
            <w:r w:rsidRPr="00C87923">
              <w:rPr>
                <w:sz w:val="24"/>
                <w:szCs w:val="24"/>
                <w:lang w:val="nl-NL"/>
              </w:rPr>
              <w:t>Andere nuttige informatie</w:t>
            </w:r>
          </w:p>
          <w:p w:rsidR="00F76515" w:rsidRPr="00C87923" w:rsidP="00D337F5" w14:paraId="7BBDC3B7" w14:textId="023E9478">
            <w:pPr>
              <w:spacing w:before="40" w:after="40"/>
              <w:jc w:val="both"/>
              <w:rPr>
                <w:sz w:val="24"/>
                <w:szCs w:val="24"/>
                <w:lang w:val="nl-NL"/>
              </w:rPr>
            </w:pPr>
            <w:r w:rsidRPr="00C87923">
              <w:rPr>
                <w:b w:val="0"/>
                <w:sz w:val="20"/>
                <w:szCs w:val="20"/>
                <w:lang w:val="nl-NL"/>
              </w:rPr>
              <w:t>De Beheerder stelt op uw verzoek meer gedetailleerde informatie over het Fonds beschikbaar [zoals het prospectus]. [WEBSITE].</w:t>
            </w:r>
            <w:r>
              <w:rPr>
                <w:rStyle w:val="EndnoteReference"/>
                <w:b w:val="0"/>
                <w:sz w:val="20"/>
                <w:szCs w:val="20"/>
                <w:lang w:val="nl-NL"/>
              </w:rPr>
              <w:endnoteReference w:id="33"/>
            </w:r>
            <w:r w:rsidRPr="00C87923">
              <w:rPr>
                <w:b w:val="0"/>
                <w:sz w:val="20"/>
                <w:szCs w:val="20"/>
                <w:lang w:val="nl-NL"/>
              </w:rPr>
              <w:t xml:space="preserve"> U kunt hiertoe een verzoek indienen via [TELEFOON NUMMER], per adres Beheerder [ADRES] of via [E-MAIL].</w:t>
            </w:r>
            <w:r>
              <w:rPr>
                <w:rStyle w:val="EndnoteReference"/>
                <w:b w:val="0"/>
                <w:sz w:val="20"/>
                <w:szCs w:val="20"/>
                <w:lang w:val="nl-NL"/>
              </w:rPr>
              <w:endnoteReference w:id="34"/>
            </w:r>
            <w:r w:rsidRPr="00C87923" w:rsidR="00D337F5">
              <w:rPr>
                <w:b w:val="0"/>
                <w:sz w:val="20"/>
                <w:szCs w:val="20"/>
                <w:lang w:val="nl-NL"/>
              </w:rPr>
              <w:t xml:space="preserve"> </w:t>
            </w:r>
            <w:r w:rsidRPr="00C87923" w:rsidR="00E625AB">
              <w:rPr>
                <w:b w:val="0"/>
                <w:sz w:val="20"/>
                <w:szCs w:val="20"/>
                <w:lang w:val="nl-NL"/>
              </w:rPr>
              <w:t>De Beheerder</w:t>
            </w:r>
            <w:r w:rsidRPr="00C87923" w:rsidR="009C455C">
              <w:rPr>
                <w:b w:val="0"/>
                <w:sz w:val="20"/>
                <w:szCs w:val="20"/>
                <w:lang w:val="nl-NL"/>
              </w:rPr>
              <w:t xml:space="preserve"> stelt informatie over prestaties in het verleden beschikbaar [op [WEBSITE]][in [BRON]].</w:t>
            </w:r>
            <w:r>
              <w:rPr>
                <w:rStyle w:val="EndnoteReference"/>
                <w:b w:val="0"/>
                <w:sz w:val="20"/>
                <w:szCs w:val="20"/>
                <w:lang w:val="nl-NL"/>
              </w:rPr>
              <w:endnoteReference w:id="35"/>
            </w:r>
            <w:r w:rsidRPr="00C87923" w:rsidR="009C455C">
              <w:rPr>
                <w:b w:val="0"/>
                <w:sz w:val="20"/>
                <w:szCs w:val="20"/>
                <w:lang w:val="nl-NL"/>
              </w:rPr>
              <w:t xml:space="preserve"> </w:t>
            </w:r>
            <w:r>
              <w:rPr>
                <w:rStyle w:val="EndnoteReference"/>
                <w:b w:val="0"/>
                <w:sz w:val="20"/>
                <w:szCs w:val="20"/>
                <w:lang w:val="nl-NL"/>
              </w:rPr>
              <w:endnoteReference w:id="36"/>
            </w:r>
            <w:r w:rsidRPr="00C87923" w:rsidR="009C455C">
              <w:rPr>
                <w:b w:val="0"/>
                <w:sz w:val="20"/>
                <w:szCs w:val="20"/>
                <w:lang w:val="nl-NL"/>
              </w:rPr>
              <w:t>Er wordt voor [AANTAL] jaren gegevens over prestaties in het verleden gepresenteerd.</w:t>
            </w:r>
            <w:r>
              <w:rPr>
                <w:rStyle w:val="EndnoteReference"/>
                <w:b w:val="0"/>
                <w:sz w:val="20"/>
                <w:szCs w:val="20"/>
                <w:lang w:val="nl-NL"/>
              </w:rPr>
              <w:endnoteReference w:id="37"/>
            </w:r>
          </w:p>
        </w:tc>
      </w:tr>
    </w:tbl>
    <w:p w:rsidR="00F03B67" w:rsidRPr="00C87923" w:rsidP="00D145F1" w14:paraId="3A86C2F1" w14:textId="77777777">
      <w:pPr>
        <w:rPr>
          <w:lang w:val="nl-NL"/>
        </w:rPr>
      </w:pPr>
    </w:p>
    <w:sectPr w:rsidSect="00BE1D09">
      <w:footerReference w:type="default" r:id="rId12"/>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B702B1" w:rsidP="00A62C1E" w14:paraId="12D2192F" w14:textId="77777777">
      <w:pPr>
        <w:spacing w:after="0" w:line="240" w:lineRule="auto"/>
      </w:pPr>
      <w:r>
        <w:separator/>
      </w:r>
    </w:p>
  </w:endnote>
  <w:endnote w:type="continuationSeparator" w:id="1">
    <w:p w:rsidR="00B702B1" w:rsidP="00A62C1E" w14:paraId="6C483EBC" w14:textId="77777777">
      <w:pPr>
        <w:spacing w:after="0" w:line="240" w:lineRule="auto"/>
      </w:pPr>
      <w:r>
        <w:continuationSeparator/>
      </w:r>
    </w:p>
  </w:endnote>
  <w:endnote w:id="2">
    <w:p w:rsidR="00B702B1" w:rsidRPr="00E625AB" w:rsidP="00B424C5" w14:paraId="4A59BAF0" w14:textId="4C67AF08">
      <w:pPr>
        <w:pStyle w:val="EndnoteText"/>
        <w:jc w:val="both"/>
        <w:rPr>
          <w:sz w:val="18"/>
          <w:szCs w:val="18"/>
          <w:lang w:val="nl-NL"/>
        </w:rPr>
      </w:pPr>
      <w:r w:rsidRPr="00E625AB">
        <w:rPr>
          <w:rStyle w:val="EndnoteReference"/>
          <w:lang w:val="nl-NL"/>
        </w:rPr>
        <w:endnoteRef/>
      </w:r>
      <w:r w:rsidRPr="00E625AB">
        <w:rPr>
          <w:lang w:val="nl-NL"/>
        </w:rPr>
        <w:t xml:space="preserve"> </w:t>
      </w:r>
      <w:r w:rsidRPr="00E625AB">
        <w:rPr>
          <w:sz w:val="18"/>
          <w:szCs w:val="18"/>
          <w:lang w:val="nl-NL"/>
        </w:rPr>
        <w:t>De betreffende aandelenklasse of het betreffende beleggingscompartiment moet duidelijk worden aangegeven (art. 1(g) Gedelegeerde Verordening). Indien er sprake is van een beleggingscompartiment of een aandelencategorie, volgt de naam van de abi de naam van het compartiment of de aandelencategorie. Indien een codenummer ter identificatie van de abi, het beleggingscompartiment of de aandelencategorie bestaat, vormt het een onderdeel van de identificatie van de abi (art. 1 Gedelegeerde Verordening).</w:t>
      </w:r>
    </w:p>
  </w:endnote>
  <w:endnote w:id="3">
    <w:p w:rsidR="00B702B1" w:rsidRPr="00E625AB" w:rsidP="00B424C5" w14:paraId="1FFBC302" w14:textId="1B7DB0E5">
      <w:pPr>
        <w:pStyle w:val="EndnoteText"/>
        <w:jc w:val="both"/>
        <w:rPr>
          <w:sz w:val="18"/>
          <w:szCs w:val="18"/>
          <w:lang w:val="nl-NL"/>
        </w:rPr>
      </w:pPr>
      <w:r w:rsidRPr="00E625AB">
        <w:rPr>
          <w:rStyle w:val="EndnoteReference"/>
          <w:lang w:val="nl-NL"/>
        </w:rPr>
        <w:endnoteRef/>
      </w:r>
      <w:r w:rsidRPr="00E625AB">
        <w:rPr>
          <w:lang w:val="nl-NL"/>
        </w:rPr>
        <w:t xml:space="preserve"> </w:t>
      </w:r>
      <w:r w:rsidRPr="00E625AB">
        <w:rPr>
          <w:sz w:val="18"/>
          <w:szCs w:val="18"/>
          <w:lang w:val="nl-NL"/>
        </w:rPr>
        <w:t>Te weten de specifieke pagina op de website van de beheerder waar retailbeleggers informatie kunnen vinden over de wijze waarop zij contact kunnen opnemen met de beheerder (art. 1(c) Gedelegeerde Verordening).</w:t>
      </w:r>
    </w:p>
  </w:endnote>
  <w:endnote w:id="4">
    <w:p w:rsidR="00B702B1" w:rsidRPr="00E625AB" w:rsidP="00B424C5" w14:paraId="5763B0A2" w14:textId="3FC5900D">
      <w:pPr>
        <w:pStyle w:val="EndnoteText"/>
        <w:jc w:val="both"/>
        <w:rPr>
          <w:lang w:val="nl-NL"/>
        </w:rPr>
      </w:pPr>
      <w:r w:rsidRPr="00E625AB">
        <w:rPr>
          <w:rStyle w:val="EndnoteReference"/>
          <w:lang w:val="nl-NL"/>
        </w:rPr>
        <w:endnoteRef/>
      </w:r>
      <w:r w:rsidRPr="00E625AB">
        <w:rPr>
          <w:lang w:val="nl-NL"/>
        </w:rPr>
        <w:t xml:space="preserve"> </w:t>
      </w:r>
      <w:r w:rsidRPr="00E625AB">
        <w:rPr>
          <w:sz w:val="18"/>
          <w:szCs w:val="18"/>
          <w:lang w:val="nl-NL"/>
        </w:rPr>
        <w:t>In geval sprake is van een vergunning houdende beheerder moet de volgende tekst worden opgenomen: “Aan de Beheerder is in [naam van de lidstaat] vergunning verleend en zij wordt gereguleerd door [identiteit van de bevoegde autoriteit].” (Bijlage I Gedelegeerde Verordening).</w:t>
      </w:r>
    </w:p>
  </w:endnote>
  <w:endnote w:id="5">
    <w:p w:rsidR="00B702B1" w:rsidRPr="00E625AB" w:rsidP="00B424C5" w14:paraId="1A0F2B0A" w14:textId="7C5B266E">
      <w:pPr>
        <w:pStyle w:val="EndnoteText"/>
        <w:jc w:val="both"/>
        <w:rPr>
          <w:sz w:val="18"/>
          <w:szCs w:val="18"/>
          <w:lang w:val="nl-NL"/>
        </w:rPr>
      </w:pPr>
      <w:r w:rsidRPr="00E625AB">
        <w:rPr>
          <w:rStyle w:val="EndnoteReference"/>
          <w:lang w:val="nl-NL"/>
        </w:rPr>
        <w:endnoteRef/>
      </w:r>
      <w:r w:rsidRPr="00E625AB">
        <w:rPr>
          <w:lang w:val="nl-NL"/>
        </w:rPr>
        <w:t xml:space="preserve"> </w:t>
      </w:r>
      <w:r w:rsidRPr="00E625AB">
        <w:rPr>
          <w:sz w:val="18"/>
          <w:szCs w:val="18"/>
          <w:lang w:val="nl-NL"/>
        </w:rPr>
        <w:t>Indien de beheerder voor juridische, administratieve of marketingdoeleinden deel uitmaakt van een groep ondernemingen, moet de naam van die groep worden vermeld (art. 1(f) Gedelegeerde Verordening).</w:t>
      </w:r>
    </w:p>
  </w:endnote>
  <w:endnote w:id="6">
    <w:p w:rsidR="00B702B1" w:rsidRPr="00E625AB" w:rsidP="00B424C5" w14:paraId="35F72BD2" w14:textId="5A524CFB">
      <w:pPr>
        <w:pStyle w:val="EndnoteText"/>
        <w:jc w:val="both"/>
        <w:rPr>
          <w:sz w:val="18"/>
          <w:szCs w:val="18"/>
          <w:lang w:val="nl-NL"/>
        </w:rPr>
      </w:pPr>
      <w:r w:rsidRPr="00E625AB">
        <w:rPr>
          <w:rStyle w:val="EndnoteReference"/>
          <w:lang w:val="nl-NL"/>
        </w:rPr>
        <w:endnoteRef/>
      </w:r>
      <w:r w:rsidRPr="00E625AB">
        <w:rPr>
          <w:lang w:val="nl-NL"/>
        </w:rPr>
        <w:t xml:space="preserve"> </w:t>
      </w:r>
      <w:r w:rsidRPr="00E625AB">
        <w:rPr>
          <w:sz w:val="18"/>
          <w:szCs w:val="18"/>
          <w:lang w:val="nl-NL"/>
        </w:rPr>
        <w:t>In het geval de Beheerder beschikt over een vergunning, moeten nadere gegevens inzake de vergunning worden opgenomen, bijvoorbeeld dat aan de Beheerder in Nederland een vergunning is verleend en zij wordt gereguleerd door de AFM (art. 1(h) Gedelegeerde Verordening).</w:t>
      </w:r>
    </w:p>
  </w:endnote>
  <w:endnote w:id="7">
    <w:p w:rsidR="00B702B1" w:rsidRPr="00E625AB" w:rsidP="00B424C5" w14:paraId="6CBB4FD0" w14:textId="3BE509F3">
      <w:pPr>
        <w:pStyle w:val="EndnoteText"/>
        <w:jc w:val="both"/>
        <w:rPr>
          <w:lang w:val="nl-NL"/>
        </w:rPr>
      </w:pPr>
      <w:r w:rsidRPr="00E625AB">
        <w:rPr>
          <w:rStyle w:val="EndnoteReference"/>
          <w:lang w:val="nl-NL"/>
        </w:rPr>
        <w:endnoteRef/>
      </w:r>
      <w:r w:rsidRPr="00E625AB">
        <w:rPr>
          <w:lang w:val="nl-NL"/>
        </w:rPr>
        <w:t xml:space="preserve"> </w:t>
      </w:r>
      <w:r w:rsidRPr="00E625AB">
        <w:rPr>
          <w:sz w:val="18"/>
          <w:szCs w:val="18"/>
          <w:lang w:val="nl-NL"/>
        </w:rPr>
        <w:t xml:space="preserve">Zie voor de criteria art. 1, </w:t>
      </w:r>
      <w:r w:rsidRPr="00E625AB" w:rsidR="00C55AAC">
        <w:rPr>
          <w:sz w:val="18"/>
          <w:szCs w:val="18"/>
          <w:lang w:val="nl-NL"/>
        </w:rPr>
        <w:t>voor</w:t>
      </w:r>
      <w:r w:rsidRPr="00E625AB">
        <w:rPr>
          <w:sz w:val="18"/>
          <w:szCs w:val="18"/>
          <w:lang w:val="nl-NL"/>
        </w:rPr>
        <w:t>laatste para, Gedelegeerde Verordening.</w:t>
      </w:r>
    </w:p>
  </w:endnote>
  <w:endnote w:id="8">
    <w:p w:rsidR="00B702B1" w:rsidRPr="00E625AB" w:rsidP="00B424C5" w14:paraId="5324D588" w14:textId="2D0B0160">
      <w:pPr>
        <w:pStyle w:val="EndnoteText"/>
        <w:jc w:val="both"/>
        <w:rPr>
          <w:lang w:val="nl-NL"/>
        </w:rPr>
      </w:pPr>
      <w:r w:rsidRPr="00E625AB">
        <w:rPr>
          <w:rStyle w:val="EndnoteReference"/>
          <w:lang w:val="nl-NL"/>
        </w:rPr>
        <w:endnoteRef/>
      </w:r>
      <w:r w:rsidRPr="00E625AB">
        <w:rPr>
          <w:lang w:val="nl-NL"/>
        </w:rPr>
        <w:t xml:space="preserve"> </w:t>
      </w:r>
      <w:r w:rsidRPr="00E625AB">
        <w:rPr>
          <w:sz w:val="18"/>
          <w:szCs w:val="18"/>
          <w:lang w:val="nl-NL"/>
        </w:rPr>
        <w:t xml:space="preserve">Hier dient vermeld te worden: De voornaamste factoren die het rendement bepalen, de onderliggende beleggingsactiva of referentiewaarden, de wijze waarop het rendement wordt bepaald, en de relatie tussen het rendement van het PRIIP en dat van de onderliggende beleggingsactiva of referentiewaarden. Uit die informatie blijkt de relatie tussen de aanbevolen periode van bezit en het risico- en rendementsprofiel van het PRIIP. Wanneer het aantal activa of referentiewaarden van dien aard is dat het niet mogelijk is voor elk ervan specifieke verwijzingen op te nemen in een EID, worden alleen de marktsegmenten of instrumentsoorten met betrekking tot de onderliggende beleggingsactiva of referentiewaarden vermeld. </w:t>
      </w:r>
      <w:bookmarkStart w:id="9" w:name="_Hlk36799012"/>
      <w:r w:rsidRPr="00E625AB">
        <w:rPr>
          <w:sz w:val="18"/>
          <w:szCs w:val="18"/>
          <w:lang w:val="nl-NL"/>
        </w:rPr>
        <w:t>Art. 2(2) Gedelegeerde Verordening.</w:t>
      </w:r>
      <w:bookmarkEnd w:id="9"/>
    </w:p>
  </w:endnote>
  <w:endnote w:id="9">
    <w:p w:rsidR="00A81F7D" w:rsidRPr="00A81F7D" w:rsidP="00A81F7D" w14:paraId="198D3461" w14:textId="0DE5E1BC">
      <w:pPr>
        <w:pStyle w:val="EndnoteText"/>
        <w:jc w:val="both"/>
        <w:rPr>
          <w:lang w:val="nl-NL"/>
        </w:rPr>
      </w:pPr>
      <w:r w:rsidRPr="00A81F7D">
        <w:rPr>
          <w:rStyle w:val="EndnoteReference"/>
        </w:rPr>
        <w:endnoteRef/>
      </w:r>
      <w:r w:rsidRPr="00A81F7D">
        <w:rPr>
          <w:lang w:val="nl-NL"/>
        </w:rPr>
        <w:t xml:space="preserve"> </w:t>
      </w:r>
      <w:r w:rsidRPr="00A81F7D">
        <w:rPr>
          <w:sz w:val="18"/>
          <w:szCs w:val="18"/>
          <w:lang w:val="nl-NL"/>
        </w:rPr>
        <w:t>Een PRIIP wordt geacht illiquide te zijn, al dan niet contractueel, als aan een van de volgende criteria wordt voldaan: (a) het PRIIP is niet toegelaten tot de handel op een secundaire markt en er wordt geen alternatieve liquiditeitsfaciliteit aangeboden door de PRIIP-ontwikkelaar of een derde, of de alternatieve liquiditeitsfaciliteit is onderworpen aan belangrijke beperkende voorwaarden, zoals hoge sancties bij vroegtijdige verkoop of discretionaire terugkoopprijzen, of als er geen liquiditeitsregelingen zijn; (b) het PRIIP biedt wel mogelijkheden voor beëindiging of terugkoop vóór de toepasselijke vervaldatum maar onder aanmerkelijke beperkende voorwaarden, zoals hoge sancties bij vroegtijdige uitstap of discretionaire terugkoopprijzen, of na toestemming en beoordeling door de PRIIP-ontwikkelaar; (c) het PRIIP biedt geen mogelijkheden voor beëindiging of terugkoop vóór de toepasselijke vervaldatum (Para. 57, Bijlage II, Gedelegeerde Verordening).</w:t>
      </w:r>
    </w:p>
  </w:endnote>
  <w:endnote w:id="10">
    <w:p w:rsidR="00B702B1" w:rsidRPr="00E625AB" w:rsidP="00B424C5" w14:paraId="2F184FE7" w14:textId="794BA68E">
      <w:pPr>
        <w:pStyle w:val="EndnoteText"/>
        <w:jc w:val="both"/>
        <w:rPr>
          <w:sz w:val="18"/>
          <w:szCs w:val="18"/>
          <w:lang w:val="nl-NL"/>
        </w:rPr>
      </w:pPr>
      <w:r w:rsidRPr="00E625AB">
        <w:rPr>
          <w:rStyle w:val="EndnoteReference"/>
          <w:lang w:val="nl-NL"/>
        </w:rPr>
        <w:endnoteRef/>
      </w:r>
      <w:r w:rsidRPr="00E625AB">
        <w:rPr>
          <w:lang w:val="nl-NL"/>
        </w:rPr>
        <w:t xml:space="preserve"> </w:t>
      </w:r>
      <w:r w:rsidRPr="00E625AB">
        <w:rPr>
          <w:sz w:val="18"/>
          <w:szCs w:val="18"/>
          <w:lang w:val="nl-NL"/>
        </w:rPr>
        <w:t>Hier dienen vermeld te worden de essentiële kenmerken van het Fonds waarover een retailbelegger moet worden geïnformeerd, met inbegrip van: (a) de hoofdcategorieën van in aanmerking komende financiële instrumenten die het voorwerp van de belegging uitmaken; (b) de mogelijkheid dat de retailbelegger op verzoek rechten van deelneming in het Fonds kan verzilveren, waarbij die verklaring wordt aangevuld met een aanduiding van de frequentie van de handel in rechten van deelneming, of, waar van toepassing, een verklaring dat het niet mogelijk is om op verzoek rechten van deelneming te verzilveren; (c) of het Fonds een bijzonder doel met betrekking tot industriële, geografische of andere marktsectoren of specifieke categorieën van activa voor ogen heeft; (d) of het Fonds discretionaire keuzes met betrekking tot de te verrichten specifieke beleggingen toestaat, en of deze aanpak een verwijzing naar een benchmark behelst of impliceert en zo ja, welke benchmark (wanneer een verwijzing naar een benchmark wordt geïmpliceerd, wordt voor de toepassing van deze sub paragraaf de geboden vrijheid ten opzichte van die benchmark aangegeven, en wanneer de doelstelling van het Fonds het kopiëren van een index is, wordt dit hier vermeld); en (e) of dividendinkomsten worden uitgekeerd of herbelegd (Art. 2(2 bis) Gedelegeerde Verordening). Deze informatie omvat in voorkomend geval het volgende: (i) indien het Fonds in obligaties belegt, een aanwijzing of die obligaties door rechtspersonen, overheden of andere entiteiten zijn uitgegeven en, waar van toepassing, de minimaal vereiste ratings van de obligaties; (ii) indien het Fonds een gestructureerd beleggingsfonds is, een toelichting in eenvoudige bewoordingen van alle elementen die nodig zijn voor een goed begrip van de uitbetaling en de factoren die naar verwachting de prestaties zullen beïnvloeden, waar nodig met verwijzing naar de bijzonderheden inzake het algoritme en de werking ervan in de beschrijving van de beleggingsstrategie en -doelstellingen van het Fonds; (iii) indien de keuze van activa van specifieke criteria afhankelijk is gesteld, een toelichting van die criteria, zoals “groei”, “waarde” of “hoge dividenden”; en (iv) indien specifieke technieken voor vermogensbeheer worden gehanteerd, zoals onder meer hedging, arbitrage of hefboomwerking, een toelichting in eenvoudige bewoordingen van de factoren die naar verwachting de prestaties van het Fonds zullen beïnvloeden (Art. 2 (2 ter) Gedelegeerde Verordening). In hierboven bedoelde informatie wordt een onderscheid gemaakt tussen de brede categorieën beleggingen als gespecificeerd sub paragrafen (a) en (c), en sub paragraaf (i), en de benadering van die beleggingen die door de Beheerder moet worden gevolgd, zoals gespecificeerd in sub paragraaf (d), en sub paragrafen (ii), (iii) en (iv) (Art. 2 (2 quater) Gedelegeerde Verordening). Het deel “Wat is dit voor een product?” van het essentiële-informatiedocument mag ook andere dan de hierboven opgesomde elementen bevatten, zoals onder meer de beschrijving van de beleggingsstrategie van het Fonds, indien die elementen nodig zijn om de doelstellingen en het beleggingsbeleid van het Fonds op adequate wijze te beschrijven (Art. 2 (2 quater) Gedelegeerde Verordening).</w:t>
      </w:r>
    </w:p>
  </w:endnote>
  <w:endnote w:id="11">
    <w:p w:rsidR="00B702B1" w:rsidRPr="00E625AB" w:rsidP="00B424C5" w14:paraId="60B8CC80" w14:textId="50D298BE">
      <w:pPr>
        <w:pStyle w:val="EndnoteText"/>
        <w:jc w:val="both"/>
        <w:rPr>
          <w:sz w:val="18"/>
          <w:szCs w:val="18"/>
          <w:lang w:val="nl-NL"/>
        </w:rPr>
      </w:pPr>
      <w:r w:rsidRPr="00E625AB">
        <w:rPr>
          <w:rStyle w:val="EndnoteReference"/>
          <w:lang w:val="nl-NL"/>
        </w:rPr>
        <w:endnoteRef/>
      </w:r>
      <w:r w:rsidRPr="00E625AB">
        <w:rPr>
          <w:lang w:val="nl-NL"/>
        </w:rPr>
        <w:t xml:space="preserve"> </w:t>
      </w:r>
      <w:r w:rsidRPr="00E625AB">
        <w:rPr>
          <w:sz w:val="18"/>
          <w:szCs w:val="18"/>
          <w:lang w:val="nl-NL"/>
        </w:rPr>
        <w:t>Dit betreft informatie over de retailbeleggers die de PRIIP-ontwikkelaar voor ogen heeft, in het bijzonder de behoeften, de kenmerken en de doelstellingen van het type retailbelegger voor wie het PRIIP geschikt is. De doelgroep wordt vastgesteld op basis van de capaciteit van retailbeleggers om beleggingsverlies te dragen, hun voorkeuren ten aanzien van de beleggingshorizon, hun theoretische kennis van en praktische ervaring met PRIIPs en de financiële markten, alsmede op basis van de behoeften, kenmerken en doelstellingen van potentiële eindcliënten. Art. 2(3) Gedelegeerde Verordening.</w:t>
      </w:r>
    </w:p>
  </w:endnote>
  <w:endnote w:id="12">
    <w:p w:rsidR="00B702B1" w:rsidRPr="00E625AB" w:rsidP="00B424C5" w14:paraId="0F67F1E7" w14:textId="4E496179">
      <w:pPr>
        <w:pStyle w:val="EndnoteText"/>
        <w:jc w:val="both"/>
        <w:rPr>
          <w:sz w:val="18"/>
          <w:szCs w:val="18"/>
          <w:lang w:val="nl-NL"/>
        </w:rPr>
      </w:pPr>
      <w:r w:rsidRPr="00E625AB">
        <w:rPr>
          <w:rStyle w:val="EndnoteReference"/>
          <w:lang w:val="nl-NL"/>
        </w:rPr>
        <w:endnoteRef/>
      </w:r>
      <w:r w:rsidRPr="00E625AB">
        <w:rPr>
          <w:lang w:val="nl-NL"/>
        </w:rPr>
        <w:t xml:space="preserve"> </w:t>
      </w:r>
      <w:r w:rsidRPr="00E625AB">
        <w:rPr>
          <w:sz w:val="18"/>
          <w:szCs w:val="18"/>
          <w:lang w:val="nl-NL"/>
        </w:rPr>
        <w:t>Art. 2(7) Gedelegeerde Verordening</w:t>
      </w:r>
    </w:p>
  </w:endnote>
  <w:endnote w:id="13">
    <w:p w:rsidR="00607F6C" w:rsidRPr="00E625AB" w:rsidP="00B424C5" w14:paraId="27FECBE7" w14:textId="08DF75C8">
      <w:pPr>
        <w:pStyle w:val="EndnoteText"/>
        <w:jc w:val="both"/>
        <w:rPr>
          <w:lang w:val="nl-NL"/>
        </w:rPr>
      </w:pPr>
      <w:r w:rsidRPr="00E625AB">
        <w:rPr>
          <w:rStyle w:val="EndnoteReference"/>
          <w:lang w:val="nl-NL"/>
        </w:rPr>
        <w:endnoteRef/>
      </w:r>
      <w:r w:rsidRPr="00E625AB">
        <w:rPr>
          <w:lang w:val="nl-NL"/>
        </w:rPr>
        <w:t xml:space="preserve"> </w:t>
      </w:r>
      <w:r w:rsidRPr="00E625AB">
        <w:rPr>
          <w:sz w:val="18"/>
          <w:szCs w:val="18"/>
          <w:lang w:val="nl-NL"/>
        </w:rPr>
        <w:t>De verwijzing moet specifiek zijn en de retailbelegger naar de specifieke afdeling van de relevante informatiebron verwijzen (Art. 17 bis Gedelegeerde Verordening).</w:t>
      </w:r>
    </w:p>
  </w:endnote>
  <w:endnote w:id="14">
    <w:p w:rsidR="00151BDE" w:rsidRPr="00E625AB" w:rsidP="00B424C5" w14:paraId="4C47E509" w14:textId="46E3A0E6">
      <w:pPr>
        <w:pStyle w:val="EndnoteText"/>
        <w:jc w:val="both"/>
        <w:rPr>
          <w:sz w:val="18"/>
          <w:szCs w:val="18"/>
          <w:lang w:val="nl-NL"/>
        </w:rPr>
      </w:pPr>
      <w:r w:rsidRPr="00E625AB">
        <w:rPr>
          <w:rStyle w:val="EndnoteReference"/>
          <w:lang w:val="nl-NL"/>
        </w:rPr>
        <w:endnoteRef/>
      </w:r>
      <w:r w:rsidRPr="00E625AB">
        <w:rPr>
          <w:lang w:val="nl-NL"/>
        </w:rPr>
        <w:t xml:space="preserve"> </w:t>
      </w:r>
      <w:r w:rsidRPr="00E625AB">
        <w:rPr>
          <w:sz w:val="18"/>
          <w:szCs w:val="18"/>
          <w:lang w:val="nl-NL"/>
        </w:rPr>
        <w:t>In dit deel van het EID moeten de priip-ontwikkelaars de methodologie inzake de presentatie van risico zoals beschreven in bijlage II toepassen, dienen zij de technische aspecten van de presentatie van de samenvattende risico-indicator zoals beschreven in bijlage III te vermelden en zijn zij gehouden zich aan de technische leidraad, vormcriteria en methodologie voor de presentatie van prestatiescenario's zoals beschreven in bijlage IV en bijlage V te houden (Art. 3(1) Gedelegeerde Verordening).</w:t>
      </w:r>
    </w:p>
  </w:endnote>
  <w:endnote w:id="15">
    <w:p w:rsidR="00C603C6" w:rsidRPr="00E625AB" w:rsidP="00B424C5" w14:paraId="53F7DF34" w14:textId="0EC9ADF5">
      <w:pPr>
        <w:pStyle w:val="EndnoteText"/>
        <w:jc w:val="both"/>
        <w:rPr>
          <w:color w:val="70AD47" w:themeColor="accent6"/>
          <w:lang w:val="nl-NL"/>
        </w:rPr>
      </w:pPr>
      <w:r w:rsidRPr="00E625AB">
        <w:rPr>
          <w:rStyle w:val="EndnoteReference"/>
          <w:lang w:val="nl-NL"/>
        </w:rPr>
        <w:endnoteRef/>
      </w:r>
      <w:r w:rsidRPr="00E625AB">
        <w:rPr>
          <w:lang w:val="nl-NL"/>
        </w:rPr>
        <w:t xml:space="preserve"> </w:t>
      </w:r>
      <w:r w:rsidRPr="00E625AB">
        <w:rPr>
          <w:sz w:val="18"/>
          <w:szCs w:val="18"/>
          <w:lang w:val="nl-NL"/>
        </w:rPr>
        <w:t>Voor het bepalen van de Samenvattende Risico-Indicator (SRI) wordt het Fonds voor de Maatstaf voor Marktrisico (MMR) in categorie 1 ingedeeld, dit is van toepassing wanneer het PRIIP of de onderliggende belegging een minder dan maandelijks bepaalde koers heeft of er geen passende referentie- of vervangende waarde is, of een passende maar minder regelmatig dan maandelijks bepaalde referentie- of vervangende waarde is (Para. 4(c), Bijlage II, Gedelegeerde Verordening). Dit heeft tot gevolg dat het fonds MMR klasse 6 toegewezen wordt (Para. 8, Bijlage II, Gedelegeerde Verordening). Indien er geen kredietbeoordeling door een externe kredietbeoordelingsinstelling (EKBI) van het PRIIP of de debiteuren is, wordt het kredietrisico niveau standaard beoordeeld op kredietkwaliteitscategorie 5 (Para. 38(c), 42 en 43(b), Bijlage II, Gedelegeerde Verordening). SRI is vervolgens 6, ongeacht de klasse van de Maatstaf voor Kredietrisico (MKR) (Para. 52, Bijlage II, Gedelegeerde Verordening). Indien een Beheerder van mening is dat deze SRI van 6 de risico’s van het Fonds niet adequaat weergeeft, kan de Beheerder beslissen dit cijfer te verhogen. De besluitvorming voor een dergelijke verhoging moet worden gedocumenteerd (Para. 52 bis, Bijlage II, Gedelegeerde Verordening).</w:t>
      </w:r>
    </w:p>
  </w:endnote>
  <w:endnote w:id="16">
    <w:p w:rsidR="00C603C6" w:rsidRPr="00E625AB" w:rsidP="00B424C5" w14:paraId="22DFC956" w14:textId="1D1F0F13">
      <w:pPr>
        <w:pStyle w:val="EndnoteText"/>
        <w:jc w:val="both"/>
        <w:rPr>
          <w:lang w:val="nl-NL"/>
        </w:rPr>
      </w:pPr>
      <w:r w:rsidRPr="00E625AB">
        <w:rPr>
          <w:rStyle w:val="EndnoteReference"/>
          <w:lang w:val="nl-NL"/>
        </w:rPr>
        <w:endnoteRef/>
      </w:r>
      <w:r w:rsidRPr="00E625AB">
        <w:rPr>
          <w:lang w:val="nl-NL"/>
        </w:rPr>
        <w:t xml:space="preserve"> </w:t>
      </w:r>
      <w:r w:rsidRPr="00E625AB">
        <w:rPr>
          <w:sz w:val="18"/>
          <w:szCs w:val="18"/>
          <w:lang w:val="nl-NL"/>
        </w:rPr>
        <w:t>Volgens art. 3(2)(c) Gedelegeerde Verordening dient er een tekst onder de samenvattende risico-indicator te staan waarin wordt toegelicht dat indien een PRIIP in een andere valuta luidt dan de officiële munteenheid van de lidstaat waar het PRIIP wordt aangeboden, het rendement in de officiële munteenheid van de lidstaat waar het PRIIP wordt aangeboden, kan veranderen als gevolg van koersschommelingen. Volgens para. 4(a)(i), Bijlage III, Gedelegeerde Verordening dient de beschrijvende toelichting een waarschuwing in vet lettertype te bevatten indien een PRIIP wordt geacht een valutarisico te hebben. Dit betreft Element C, vet lettertype: “Wees u bewust van het valutarisico. U ontvangt betalingen in een andere valuta, zodat het definitief te ontvangen rendement afhangt van de wisselkoers tussen beide valuta's. Dat risico is niet in aanmerking genomen in bovenstaande indicator.” (Zie para. 7, Bijlage III, Gedelegeerde Verordening.)</w:t>
      </w:r>
    </w:p>
  </w:endnote>
  <w:endnote w:id="17">
    <w:p w:rsidR="00C603C6" w:rsidRPr="00E625AB" w:rsidP="00B424C5" w14:paraId="5100473A" w14:textId="72C12B00">
      <w:pPr>
        <w:pStyle w:val="EndnoteText"/>
        <w:jc w:val="both"/>
        <w:rPr>
          <w:lang w:val="nl-NL"/>
        </w:rPr>
      </w:pPr>
      <w:r w:rsidRPr="00E625AB">
        <w:rPr>
          <w:rStyle w:val="EndnoteReference"/>
          <w:lang w:val="nl-NL"/>
        </w:rPr>
        <w:endnoteRef/>
      </w:r>
      <w:r w:rsidRPr="00E625AB">
        <w:rPr>
          <w:sz w:val="18"/>
          <w:szCs w:val="18"/>
          <w:lang w:val="nl-NL"/>
        </w:rPr>
        <w:t xml:space="preserve"> Andere risico's die van materieel belang zijn voor het PRIIP en niet zijn opgenomen in de samenvattende risico-indicator worden toegelicht in niet meer dan tweehonderd tekens (para. 7, Bijlage III, Gedelegeerde Verordening element E).</w:t>
      </w:r>
    </w:p>
  </w:endnote>
  <w:endnote w:id="18">
    <w:p w:rsidR="00516C09" w:rsidRPr="00E625AB" w:rsidP="00B424C5" w14:paraId="7FD92C39" w14:textId="63573FA1">
      <w:pPr>
        <w:pStyle w:val="EndnoteText"/>
        <w:jc w:val="both"/>
        <w:rPr>
          <w:lang w:val="nl-NL"/>
        </w:rPr>
      </w:pPr>
      <w:r w:rsidRPr="00E625AB">
        <w:rPr>
          <w:rStyle w:val="EndnoteReference"/>
          <w:lang w:val="nl-NL"/>
        </w:rPr>
        <w:endnoteRef/>
      </w:r>
      <w:r w:rsidRPr="00E625AB">
        <w:rPr>
          <w:lang w:val="nl-NL"/>
        </w:rPr>
        <w:t xml:space="preserve"> </w:t>
      </w:r>
      <w:r w:rsidRPr="00E625AB">
        <w:rPr>
          <w:sz w:val="18"/>
          <w:szCs w:val="18"/>
          <w:lang w:val="nl-NL"/>
        </w:rPr>
        <w:t>Deze tekst moet duidelijk boven de tabel van het prestatiescenario word</w:t>
      </w:r>
      <w:r w:rsidRPr="00E625AB" w:rsidR="009A0006">
        <w:rPr>
          <w:sz w:val="18"/>
          <w:szCs w:val="18"/>
          <w:lang w:val="nl-NL"/>
        </w:rPr>
        <w:t>en</w:t>
      </w:r>
      <w:r w:rsidRPr="00E625AB">
        <w:rPr>
          <w:sz w:val="18"/>
          <w:szCs w:val="18"/>
          <w:lang w:val="nl-NL"/>
        </w:rPr>
        <w:t xml:space="preserve"> weergegeven (para. 2(b), Deel 1, </w:t>
      </w:r>
      <w:bookmarkStart w:id="11" w:name="_Hlk115431542"/>
      <w:r w:rsidRPr="00E625AB">
        <w:rPr>
          <w:sz w:val="18"/>
          <w:szCs w:val="18"/>
          <w:lang w:val="nl-NL"/>
        </w:rPr>
        <w:t>Bijlage V, Gedelegeerde Verordening</w:t>
      </w:r>
      <w:bookmarkEnd w:id="11"/>
      <w:r w:rsidRPr="00E625AB">
        <w:rPr>
          <w:sz w:val="18"/>
          <w:szCs w:val="18"/>
          <w:lang w:val="nl-NL"/>
        </w:rPr>
        <w:t>).</w:t>
      </w:r>
    </w:p>
  </w:endnote>
  <w:endnote w:id="19">
    <w:p w:rsidR="00516C09" w:rsidRPr="00E625AB" w:rsidP="00B424C5" w14:paraId="0BB00083" w14:textId="14924D3D">
      <w:pPr>
        <w:pStyle w:val="EndnoteText"/>
        <w:jc w:val="both"/>
        <w:rPr>
          <w:lang w:val="nl-NL"/>
        </w:rPr>
      </w:pPr>
      <w:r w:rsidRPr="00E625AB">
        <w:rPr>
          <w:rStyle w:val="EndnoteReference"/>
          <w:lang w:val="nl-NL"/>
        </w:rPr>
        <w:endnoteRef/>
      </w:r>
      <w:r w:rsidRPr="00E625AB">
        <w:rPr>
          <w:lang w:val="nl-NL"/>
        </w:rPr>
        <w:t xml:space="preserve"> </w:t>
      </w:r>
      <w:r w:rsidRPr="00E625AB">
        <w:rPr>
          <w:sz w:val="18"/>
          <w:szCs w:val="18"/>
          <w:lang w:val="nl-NL"/>
        </w:rPr>
        <w:t>Deze tekst moet duidelijk boven de tabel van het prestatiescenario word</w:t>
      </w:r>
      <w:r w:rsidRPr="00E625AB" w:rsidR="009A0006">
        <w:rPr>
          <w:sz w:val="18"/>
          <w:szCs w:val="18"/>
          <w:lang w:val="nl-NL"/>
        </w:rPr>
        <w:t>en</w:t>
      </w:r>
      <w:r w:rsidRPr="00E625AB">
        <w:rPr>
          <w:sz w:val="18"/>
          <w:szCs w:val="18"/>
          <w:lang w:val="nl-NL"/>
        </w:rPr>
        <w:t xml:space="preserve"> weergegeven (para. 3(a), Deel 1, Bijlage V, Gedelegeerde Verordening element C).</w:t>
      </w:r>
    </w:p>
  </w:endnote>
  <w:endnote w:id="20">
    <w:p w:rsidR="00516C09" w:rsidRPr="00E625AB" w:rsidP="00B424C5" w14:paraId="35121A63" w14:textId="7A4D09FD">
      <w:pPr>
        <w:pStyle w:val="EndnoteText"/>
        <w:jc w:val="both"/>
        <w:rPr>
          <w:sz w:val="18"/>
          <w:szCs w:val="18"/>
          <w:lang w:val="nl-NL"/>
        </w:rPr>
      </w:pPr>
      <w:r w:rsidRPr="00E625AB">
        <w:rPr>
          <w:rStyle w:val="EndnoteReference"/>
          <w:lang w:val="nl-NL"/>
        </w:rPr>
        <w:endnoteRef/>
      </w:r>
      <w:r w:rsidRPr="00E625AB">
        <w:rPr>
          <w:lang w:val="nl-NL"/>
        </w:rPr>
        <w:t xml:space="preserve"> </w:t>
      </w:r>
      <w:r w:rsidRPr="00E625AB">
        <w:rPr>
          <w:sz w:val="18"/>
          <w:szCs w:val="18"/>
          <w:lang w:val="nl-NL"/>
        </w:rPr>
        <w:t>Voor PRIIPs met een aanbevolen periode van bezit van 10 jaar of meer wordt de prestatie weergegeven in 3 perioden van bezit: aan het eind van het eerste jaar, aan het eind van het jaar waarin de aanbevolen periode van bezit voor de helft is verstreken, en aan het eind van de aanbevolen periode van bezit (Para. 32, Bijlage IV, Gedelegeerde Verordening).</w:t>
      </w:r>
    </w:p>
  </w:endnote>
  <w:endnote w:id="21">
    <w:p w:rsidR="00516C09" w:rsidRPr="00E625AB" w:rsidP="00B424C5" w14:paraId="6E91B0BC" w14:textId="5EA3D35E">
      <w:pPr>
        <w:pStyle w:val="EndnoteText"/>
        <w:jc w:val="both"/>
        <w:rPr>
          <w:sz w:val="18"/>
          <w:szCs w:val="18"/>
          <w:lang w:val="nl-NL"/>
        </w:rPr>
      </w:pPr>
      <w:r w:rsidRPr="00E625AB">
        <w:rPr>
          <w:rStyle w:val="EndnoteReference"/>
          <w:lang w:val="nl-NL"/>
        </w:rPr>
        <w:endnoteRef/>
      </w:r>
      <w:r w:rsidRPr="00E625AB">
        <w:rPr>
          <w:lang w:val="nl-NL"/>
        </w:rPr>
        <w:t xml:space="preserve"> </w:t>
      </w:r>
      <w:r w:rsidRPr="00E625AB">
        <w:rPr>
          <w:sz w:val="18"/>
          <w:szCs w:val="18"/>
          <w:lang w:val="nl-NL"/>
        </w:rPr>
        <w:t>De voor de tussenliggende perioden weer te geven waarden kunnen door de PRIIP-ontwikkelaar worden geschat op een manier die overeenstemt met de schatting aan het eind van de aanbevolen periode van bezit (Para. 38, Bijlage IV, Gedelegeerde Verordening).</w:t>
      </w:r>
    </w:p>
  </w:endnote>
  <w:endnote w:id="22">
    <w:p w:rsidR="00516C09" w:rsidRPr="00E625AB" w:rsidP="00B424C5" w14:paraId="092E8EA9" w14:textId="1F49CF92">
      <w:pPr>
        <w:pStyle w:val="EndnoteText"/>
        <w:jc w:val="both"/>
        <w:rPr>
          <w:lang w:val="nl-NL"/>
        </w:rPr>
      </w:pPr>
      <w:r w:rsidRPr="00E625AB">
        <w:rPr>
          <w:rStyle w:val="EndnoteReference"/>
          <w:lang w:val="nl-NL"/>
        </w:rPr>
        <w:endnoteRef/>
      </w:r>
      <w:r w:rsidRPr="00E625AB">
        <w:rPr>
          <w:lang w:val="nl-NL"/>
        </w:rPr>
        <w:t xml:space="preserve"> </w:t>
      </w:r>
      <w:r w:rsidRPr="00E625AB">
        <w:rPr>
          <w:sz w:val="18"/>
          <w:szCs w:val="18"/>
          <w:lang w:val="nl-NL"/>
        </w:rPr>
        <w:t>Hier wordt de term “aanbevolen periode van bezit” voorgeschreven, maar dat is voor closed-end fondsen enigszins misleidend; inkoop is niet toegestaan (de periode van bezit is niet “aanbevolen”), en overdracht is feitelijk meestal maar beperkt mogelijk.</w:t>
      </w:r>
    </w:p>
  </w:endnote>
  <w:endnote w:id="23">
    <w:p w:rsidR="00516C09" w:rsidRPr="00E625AB" w:rsidP="00B424C5" w14:paraId="368E0810" w14:textId="7E924EC5">
      <w:pPr>
        <w:pStyle w:val="EndnoteText"/>
        <w:jc w:val="both"/>
        <w:rPr>
          <w:lang w:val="nl-NL"/>
        </w:rPr>
      </w:pPr>
      <w:r w:rsidRPr="00E625AB">
        <w:rPr>
          <w:rStyle w:val="EndnoteReference"/>
          <w:lang w:val="nl-NL"/>
        </w:rPr>
        <w:endnoteRef/>
      </w:r>
      <w:r w:rsidRPr="00E625AB">
        <w:rPr>
          <w:lang w:val="nl-NL"/>
        </w:rPr>
        <w:t xml:space="preserve"> </w:t>
      </w:r>
      <w:r w:rsidRPr="00E625AB">
        <w:rPr>
          <w:sz w:val="18"/>
          <w:szCs w:val="18"/>
          <w:lang w:val="nl-NL"/>
        </w:rPr>
        <w:t>De Gedelegeerde Verordening hanteert vier prestatiescenario’s voor presentatie van mogelijke rendementen: (a) een gunstig scenario; (b) een gematigd scenario; (c) een ongunstig scenario; (d) een stressscenario. Voor PRIIPS in categorie 1, punt 4(c) van Bijlage II Gedelegeerde Verordening (te weten wanneer het PRIIP of de onderliggende belegging een minder dan maandelijks bepaalde koers heeft of er geen passende referentie- of vervangende waarde is, of een passende maar minder regelmatig dan maandelijks bepaalde referentie- of vervangende waarde is) wordt een redelijke en voorzichtige beste schatting van de verwachte waarden voor de prestatiescenario's omschreven in punt 1, onder (a) tot en met (c), aan het einde van de aanbevolen periode van bezit gegeven. Het stress scenario is niet van toepassing. (Para. 1 en 31, Bijlage IV, Gedelegeerde Verordening).</w:t>
      </w:r>
    </w:p>
  </w:endnote>
  <w:endnote w:id="24">
    <w:p w:rsidR="00516C09" w:rsidRPr="00E625AB" w:rsidP="00B424C5" w14:paraId="0BEEA824" w14:textId="136E6C5E">
      <w:pPr>
        <w:pStyle w:val="EndnoteText"/>
        <w:jc w:val="both"/>
        <w:rPr>
          <w:lang w:val="nl-NL"/>
        </w:rPr>
      </w:pPr>
      <w:r w:rsidRPr="00E625AB">
        <w:rPr>
          <w:rStyle w:val="EndnoteReference"/>
          <w:lang w:val="nl-NL"/>
        </w:rPr>
        <w:endnoteRef/>
      </w:r>
      <w:r w:rsidRPr="00E625AB">
        <w:rPr>
          <w:lang w:val="nl-NL"/>
        </w:rPr>
        <w:t xml:space="preserve"> </w:t>
      </w:r>
      <w:r w:rsidRPr="00E625AB">
        <w:rPr>
          <w:sz w:val="18"/>
          <w:szCs w:val="18"/>
          <w:lang w:val="nl-NL"/>
        </w:rPr>
        <w:t>De prestatiescenario’s worden ook in percentages gepresenteerd, als het gemiddelde jaarlijks rendement op de inleg. Het percentage wordt berekend met de scenariowaarde als teller en het bedrag van het oorspronkelijke beleggingsbedrag of de betaalde prijs als noemer, volgens de volgende formule:  (scenariowaarde/initiële belegging) ^ (1/T) — 1, indien T &gt; 1. Daarbij staat T voor de duur van de periode van bezit in jaren. (Para. 44, Bijlage IV, Gedelegeerde Verordening).</w:t>
      </w:r>
    </w:p>
  </w:endnote>
  <w:endnote w:id="25">
    <w:p w:rsidR="00516C09" w:rsidRPr="00E625AB" w:rsidP="00B424C5" w14:paraId="28C94033" w14:textId="30A5DCB1">
      <w:pPr>
        <w:pStyle w:val="EndnoteText"/>
        <w:jc w:val="both"/>
        <w:rPr>
          <w:lang w:val="nl-NL"/>
        </w:rPr>
      </w:pPr>
      <w:r w:rsidRPr="00E625AB">
        <w:rPr>
          <w:rStyle w:val="EndnoteReference"/>
          <w:lang w:val="nl-NL"/>
        </w:rPr>
        <w:endnoteRef/>
      </w:r>
      <w:r w:rsidRPr="00E625AB">
        <w:rPr>
          <w:lang w:val="nl-NL"/>
        </w:rPr>
        <w:t xml:space="preserve"> </w:t>
      </w:r>
      <w:r w:rsidRPr="00E625AB">
        <w:rPr>
          <w:sz w:val="18"/>
          <w:szCs w:val="18"/>
          <w:lang w:val="nl-NL"/>
        </w:rPr>
        <w:t>Para. 2(a), Deel 1, Bijlage V, Gedelegeerde Verordening</w:t>
      </w:r>
    </w:p>
  </w:endnote>
  <w:endnote w:id="26">
    <w:p w:rsidR="00516C09" w:rsidRPr="00E625AB" w:rsidP="00B424C5" w14:paraId="7BA896EF" w14:textId="17052548">
      <w:pPr>
        <w:pStyle w:val="EndnoteText"/>
        <w:jc w:val="both"/>
        <w:rPr>
          <w:lang w:val="nl-NL"/>
        </w:rPr>
      </w:pPr>
      <w:r w:rsidRPr="00E625AB">
        <w:rPr>
          <w:rStyle w:val="EndnoteReference"/>
          <w:lang w:val="nl-NL"/>
        </w:rPr>
        <w:endnoteRef/>
      </w:r>
      <w:r w:rsidRPr="00E625AB">
        <w:rPr>
          <w:lang w:val="nl-NL"/>
        </w:rPr>
        <w:t xml:space="preserve"> </w:t>
      </w:r>
      <w:r w:rsidRPr="00E625AB">
        <w:rPr>
          <w:sz w:val="18"/>
          <w:szCs w:val="18"/>
          <w:lang w:val="nl-NL"/>
        </w:rPr>
        <w:t>Para. 6, Deel 1, Bijlage V, Gedelegeerde Verordening</w:t>
      </w:r>
    </w:p>
  </w:endnote>
  <w:endnote w:id="27">
    <w:p w:rsidR="00151BDE" w:rsidRPr="00E625AB" w:rsidP="00B424C5" w14:paraId="148D3F80" w14:textId="0A2D30A4">
      <w:pPr>
        <w:pStyle w:val="EndnoteText"/>
        <w:jc w:val="both"/>
        <w:rPr>
          <w:sz w:val="18"/>
          <w:szCs w:val="18"/>
          <w:lang w:val="nl-NL"/>
        </w:rPr>
      </w:pPr>
      <w:r w:rsidRPr="00E625AB">
        <w:rPr>
          <w:rStyle w:val="EndnoteReference"/>
          <w:lang w:val="nl-NL"/>
        </w:rPr>
        <w:endnoteRef/>
      </w:r>
      <w:r w:rsidRPr="00E625AB">
        <w:rPr>
          <w:lang w:val="nl-NL"/>
        </w:rPr>
        <w:t xml:space="preserve"> </w:t>
      </w:r>
      <w:r w:rsidRPr="00E625AB">
        <w:rPr>
          <w:sz w:val="18"/>
          <w:szCs w:val="18"/>
          <w:lang w:val="nl-NL"/>
        </w:rPr>
        <w:t xml:space="preserve">In dit deel van het EID </w:t>
      </w:r>
      <w:r w:rsidRPr="00E625AB" w:rsidR="005A6994">
        <w:rPr>
          <w:sz w:val="18"/>
          <w:szCs w:val="18"/>
          <w:lang w:val="nl-NL"/>
        </w:rPr>
        <w:t>passen p</w:t>
      </w:r>
      <w:r w:rsidRPr="00E625AB">
        <w:rPr>
          <w:sz w:val="18"/>
          <w:szCs w:val="18"/>
          <w:lang w:val="nl-NL"/>
        </w:rPr>
        <w:t>riip-ontwikkelaars het</w:t>
      </w:r>
      <w:r w:rsidRPr="00E625AB" w:rsidR="005A6994">
        <w:rPr>
          <w:sz w:val="18"/>
          <w:szCs w:val="18"/>
          <w:lang w:val="nl-NL"/>
        </w:rPr>
        <w:t xml:space="preserve"> </w:t>
      </w:r>
      <w:r w:rsidRPr="00E625AB">
        <w:rPr>
          <w:sz w:val="18"/>
          <w:szCs w:val="18"/>
          <w:lang w:val="nl-NL"/>
        </w:rPr>
        <w:t>volgende toe:</w:t>
      </w:r>
      <w:r w:rsidRPr="00E625AB" w:rsidR="005A6994">
        <w:rPr>
          <w:sz w:val="18"/>
          <w:szCs w:val="18"/>
          <w:lang w:val="nl-NL"/>
        </w:rPr>
        <w:t xml:space="preserve"> (i) </w:t>
      </w:r>
      <w:r w:rsidRPr="00E625AB">
        <w:rPr>
          <w:sz w:val="18"/>
          <w:szCs w:val="18"/>
          <w:lang w:val="nl-NL"/>
        </w:rPr>
        <w:t>de methodologie voor de kostenberekening volgens bijlage VI;</w:t>
      </w:r>
      <w:r w:rsidRPr="00E625AB" w:rsidR="005A6994">
        <w:rPr>
          <w:sz w:val="18"/>
          <w:szCs w:val="18"/>
          <w:lang w:val="nl-NL"/>
        </w:rPr>
        <w:t xml:space="preserve"> en (ii) </w:t>
      </w:r>
      <w:r w:rsidRPr="00E625AB">
        <w:rPr>
          <w:sz w:val="18"/>
          <w:szCs w:val="18"/>
          <w:lang w:val="nl-NL"/>
        </w:rPr>
        <w:t>de tabellen „Kosten in de loop van de tijd” en „Samenstelling van kosten” voor informatie over</w:t>
      </w:r>
      <w:r w:rsidRPr="00E625AB" w:rsidR="005A6994">
        <w:rPr>
          <w:sz w:val="18"/>
          <w:szCs w:val="18"/>
          <w:lang w:val="nl-NL"/>
        </w:rPr>
        <w:t xml:space="preserve"> </w:t>
      </w:r>
      <w:r w:rsidRPr="00E625AB">
        <w:rPr>
          <w:sz w:val="18"/>
          <w:szCs w:val="18"/>
          <w:lang w:val="nl-NL"/>
        </w:rPr>
        <w:t>kosten, zoals vermeld in bijlage VII, overeenkomstig de daarin opgenomen technische leidraad</w:t>
      </w:r>
      <w:r w:rsidRPr="00E625AB" w:rsidR="005A6994">
        <w:rPr>
          <w:sz w:val="18"/>
          <w:szCs w:val="18"/>
          <w:lang w:val="nl-NL"/>
        </w:rPr>
        <w:t xml:space="preserve"> (art. 5(1) Gedelegeerde Verordening)</w:t>
      </w:r>
      <w:r w:rsidRPr="00E625AB">
        <w:rPr>
          <w:sz w:val="18"/>
          <w:szCs w:val="18"/>
          <w:lang w:val="nl-NL"/>
        </w:rPr>
        <w:t>.</w:t>
      </w:r>
    </w:p>
  </w:endnote>
  <w:endnote w:id="28">
    <w:p w:rsidR="00AF3E56" w:rsidRPr="00E625AB" w:rsidP="00B424C5" w14:paraId="4FEF9E3F" w14:textId="5AC5EDE9">
      <w:pPr>
        <w:pStyle w:val="EndnoteText"/>
        <w:jc w:val="both"/>
        <w:rPr>
          <w:lang w:val="nl-NL"/>
        </w:rPr>
      </w:pPr>
      <w:r w:rsidRPr="00E625AB">
        <w:rPr>
          <w:rStyle w:val="EndnoteReference"/>
          <w:lang w:val="nl-NL"/>
        </w:rPr>
        <w:endnoteRef/>
      </w:r>
      <w:r w:rsidRPr="00E625AB">
        <w:rPr>
          <w:lang w:val="nl-NL"/>
        </w:rPr>
        <w:t xml:space="preserve"> </w:t>
      </w:r>
      <w:r w:rsidRPr="00E625AB">
        <w:rPr>
          <w:sz w:val="18"/>
          <w:szCs w:val="18"/>
          <w:lang w:val="nl-NL"/>
        </w:rPr>
        <w:t>Art. 2 Gedelegeerde Verordening</w:t>
      </w:r>
    </w:p>
  </w:endnote>
  <w:endnote w:id="29">
    <w:p w:rsidR="0086103F" w:rsidRPr="00E625AB" w:rsidP="00B424C5" w14:paraId="2AC130CC" w14:textId="03F05C6B">
      <w:pPr>
        <w:pStyle w:val="EndnoteText"/>
        <w:jc w:val="both"/>
        <w:rPr>
          <w:sz w:val="18"/>
          <w:szCs w:val="18"/>
          <w:lang w:val="nl-NL"/>
        </w:rPr>
      </w:pPr>
      <w:r w:rsidRPr="00E625AB">
        <w:rPr>
          <w:rStyle w:val="EndnoteReference"/>
          <w:lang w:val="nl-NL"/>
        </w:rPr>
        <w:endnoteRef/>
      </w:r>
      <w:r w:rsidRPr="00E625AB">
        <w:rPr>
          <w:lang w:val="nl-NL"/>
        </w:rPr>
        <w:t xml:space="preserve"> </w:t>
      </w:r>
      <w:r w:rsidRPr="00E625AB">
        <w:rPr>
          <w:sz w:val="18"/>
          <w:szCs w:val="18"/>
          <w:lang w:val="nl-NL"/>
        </w:rPr>
        <w:t>Priip-ontwikkelaars moeten elke kostensoort in deze tabel beschrijven overeenkomstig bijlage VII van de Gedelegeerde Verordening, en moeten specificeren waar en hoe die kosten kunnen verschillen van de feitelijke kosten die de retailbelegger kan hebben en waar en hoe die kosten kunnen afhangen van het</w:t>
      </w:r>
      <w:r w:rsidRPr="00E625AB" w:rsidR="009A79E6">
        <w:rPr>
          <w:sz w:val="18"/>
          <w:szCs w:val="18"/>
          <w:lang w:val="nl-NL"/>
        </w:rPr>
        <w:t xml:space="preserve"> </w:t>
      </w:r>
      <w:r w:rsidRPr="00E625AB">
        <w:rPr>
          <w:sz w:val="18"/>
          <w:szCs w:val="18"/>
          <w:lang w:val="nl-NL"/>
        </w:rPr>
        <w:t>feit of de retailbelegger bepaalde opties wel of niet uitoefent (Art. 5(4) Gedelegeerde Verordening)</w:t>
      </w:r>
      <w:r w:rsidRPr="00E625AB" w:rsidR="009A79E6">
        <w:rPr>
          <w:sz w:val="18"/>
          <w:szCs w:val="18"/>
          <w:lang w:val="nl-NL"/>
        </w:rPr>
        <w:t>.</w:t>
      </w:r>
    </w:p>
  </w:endnote>
  <w:endnote w:id="30">
    <w:p w:rsidR="00521753" w:rsidRPr="00E625AB" w:rsidP="00B424C5" w14:paraId="12E4594F" w14:textId="193D469E">
      <w:pPr>
        <w:pStyle w:val="EndnoteText"/>
        <w:jc w:val="both"/>
        <w:rPr>
          <w:sz w:val="18"/>
          <w:szCs w:val="18"/>
          <w:lang w:val="nl-NL"/>
        </w:rPr>
      </w:pPr>
      <w:r w:rsidRPr="00E625AB">
        <w:rPr>
          <w:rStyle w:val="EndnoteReference"/>
          <w:lang w:val="nl-NL"/>
        </w:rPr>
        <w:endnoteRef/>
      </w:r>
      <w:r w:rsidRPr="00E625AB">
        <w:rPr>
          <w:lang w:val="nl-NL"/>
        </w:rPr>
        <w:t xml:space="preserve"> </w:t>
      </w:r>
      <w:r w:rsidRPr="00E625AB">
        <w:rPr>
          <w:sz w:val="18"/>
          <w:szCs w:val="18"/>
          <w:lang w:val="nl-NL"/>
        </w:rPr>
        <w:t>De Gedelegeerde Verordening geeft specifieke instructies over de diverse kosten waar bij dit overzicht rekening moet worden gehouden, en hoe berekeningen te maken van de diverse kostensoorten, specifiek voor PRIIPs die alternatieve beleggingsinstellingen zijn als bedoel in de AIFMD, zie Bijlage VI, Deel 1, para. 1, Overzicht van de kosten van beleggingsfondsen (ABI’s en ICBE’s). Er is bijvoorbeeld een instructie voor weergave van carried interest, ook voor nieuwe fondsen, in para 25 van Bijlage VI.</w:t>
      </w:r>
    </w:p>
  </w:endnote>
  <w:endnote w:id="31">
    <w:p w:rsidR="008503C6" w:rsidRPr="00E625AB" w:rsidP="00B424C5" w14:paraId="38C19F28" w14:textId="3C1497AC">
      <w:pPr>
        <w:pStyle w:val="EndnoteText"/>
        <w:jc w:val="both"/>
        <w:rPr>
          <w:sz w:val="18"/>
          <w:szCs w:val="18"/>
          <w:lang w:val="nl-NL"/>
        </w:rPr>
      </w:pPr>
      <w:r w:rsidRPr="00E625AB">
        <w:rPr>
          <w:rStyle w:val="EndnoteReference"/>
          <w:lang w:val="nl-NL"/>
        </w:rPr>
        <w:endnoteRef/>
      </w:r>
      <w:r w:rsidRPr="00E625AB">
        <w:rPr>
          <w:lang w:val="nl-NL"/>
        </w:rPr>
        <w:t xml:space="preserve"> </w:t>
      </w:r>
      <w:r w:rsidRPr="00E625AB">
        <w:rPr>
          <w:sz w:val="18"/>
          <w:szCs w:val="18"/>
          <w:lang w:val="nl-NL"/>
        </w:rPr>
        <w:t>Indien carried interest betaald wordt zou er normaal gesproken niet nog een andere prestatievergoeding moeten zijn.</w:t>
      </w:r>
    </w:p>
  </w:endnote>
  <w:endnote w:id="32">
    <w:p w:rsidR="000039B7" w:rsidRPr="00E625AB" w:rsidP="00B424C5" w14:paraId="0A25E8B9" w14:textId="0EC98C79">
      <w:pPr>
        <w:pStyle w:val="EndnoteText"/>
        <w:jc w:val="both"/>
        <w:rPr>
          <w:lang w:val="nl-NL"/>
        </w:rPr>
      </w:pPr>
      <w:r w:rsidRPr="00E625AB">
        <w:rPr>
          <w:rStyle w:val="EndnoteReference"/>
          <w:lang w:val="nl-NL"/>
        </w:rPr>
        <w:endnoteRef/>
      </w:r>
      <w:r w:rsidRPr="00E625AB">
        <w:rPr>
          <w:lang w:val="nl-NL"/>
        </w:rPr>
        <w:t xml:space="preserve"> </w:t>
      </w:r>
      <w:r w:rsidRPr="00E625AB">
        <w:rPr>
          <w:sz w:val="18"/>
          <w:szCs w:val="18"/>
          <w:lang w:val="nl-NL"/>
        </w:rPr>
        <w:t>Zie instructie voor weergave van carried interest in para 25 van Bijlage VI.</w:t>
      </w:r>
    </w:p>
  </w:endnote>
  <w:endnote w:id="33">
    <w:p w:rsidR="009C455C" w:rsidRPr="00E625AB" w:rsidP="00B424C5" w14:paraId="3038434E" w14:textId="191A097F">
      <w:pPr>
        <w:pStyle w:val="EndnoteText"/>
        <w:jc w:val="both"/>
        <w:rPr>
          <w:lang w:val="nl-NL"/>
        </w:rPr>
      </w:pPr>
      <w:r w:rsidRPr="00E625AB">
        <w:rPr>
          <w:rStyle w:val="EndnoteReference"/>
          <w:lang w:val="nl-NL"/>
        </w:rPr>
        <w:endnoteRef/>
      </w:r>
      <w:r w:rsidRPr="00E625AB">
        <w:rPr>
          <w:lang w:val="nl-NL"/>
        </w:rPr>
        <w:t xml:space="preserve"> </w:t>
      </w:r>
      <w:r w:rsidRPr="00E625AB">
        <w:rPr>
          <w:sz w:val="18"/>
          <w:szCs w:val="18"/>
          <w:lang w:val="nl-NL"/>
        </w:rPr>
        <w:t>De verwijzing moet specifiek zijn en de retailbelegger naar de specifieke afdeling van de relevante informatiebron verwijzen</w:t>
      </w:r>
      <w:r w:rsidRPr="00E625AB" w:rsidR="00607F6C">
        <w:rPr>
          <w:sz w:val="18"/>
          <w:szCs w:val="18"/>
          <w:lang w:val="nl-NL"/>
        </w:rPr>
        <w:t xml:space="preserve"> (Art. 17 bis Gedelegeerde Verordening)</w:t>
      </w:r>
      <w:r w:rsidRPr="00E625AB">
        <w:rPr>
          <w:sz w:val="18"/>
          <w:szCs w:val="18"/>
          <w:lang w:val="nl-NL"/>
        </w:rPr>
        <w:t>.</w:t>
      </w:r>
    </w:p>
  </w:endnote>
  <w:endnote w:id="34">
    <w:p w:rsidR="00B702B1" w:rsidRPr="00E625AB" w:rsidP="00B424C5" w14:paraId="50E30DEB" w14:textId="77777777">
      <w:pPr>
        <w:pStyle w:val="EndnoteText"/>
        <w:jc w:val="both"/>
        <w:rPr>
          <w:color w:val="70AD47" w:themeColor="accent6"/>
          <w:lang w:val="nl-NL"/>
        </w:rPr>
      </w:pPr>
      <w:r w:rsidRPr="00E625AB">
        <w:rPr>
          <w:rStyle w:val="EndnoteReference"/>
          <w:lang w:val="nl-NL"/>
        </w:rPr>
        <w:endnoteRef/>
      </w:r>
      <w:r w:rsidRPr="00E625AB">
        <w:rPr>
          <w:lang w:val="nl-NL"/>
        </w:rPr>
        <w:t xml:space="preserve"> </w:t>
      </w:r>
      <w:r w:rsidRPr="00E625AB">
        <w:rPr>
          <w:sz w:val="18"/>
          <w:szCs w:val="18"/>
          <w:lang w:val="nl-NL"/>
        </w:rPr>
        <w:t>Hier worden mogelijke aanvullende informatiedocumenten opgenomen en wordt vermeld of die documenten beschikbaar worden gesteld op grond van een wettelijk voorschrift of alleen op verzoek van de retailbelegger. De informatie in dit deel kan worden verstrekt in de vorm van een samenvatting, met een link naar de website waar verdere gegevens beschikbaar zijn. Art. 8 Gedelegeerde Verordening.</w:t>
      </w:r>
    </w:p>
  </w:endnote>
  <w:endnote w:id="35">
    <w:p w:rsidR="009C455C" w:rsidRPr="00E625AB" w:rsidP="00B424C5" w14:paraId="4E938AA1" w14:textId="168089A9">
      <w:pPr>
        <w:pStyle w:val="EndnoteText"/>
        <w:jc w:val="both"/>
        <w:rPr>
          <w:lang w:val="nl-NL"/>
        </w:rPr>
      </w:pPr>
      <w:r w:rsidRPr="00E625AB">
        <w:rPr>
          <w:rStyle w:val="EndnoteReference"/>
          <w:lang w:val="nl-NL"/>
        </w:rPr>
        <w:endnoteRef/>
      </w:r>
      <w:r w:rsidRPr="00E625AB">
        <w:rPr>
          <w:lang w:val="nl-NL"/>
        </w:rPr>
        <w:t xml:space="preserve"> </w:t>
      </w:r>
      <w:r w:rsidRPr="00E625AB">
        <w:rPr>
          <w:sz w:val="18"/>
          <w:szCs w:val="18"/>
          <w:lang w:val="nl-NL"/>
        </w:rPr>
        <w:t>Zie Bijlage VIII Gedelegeerde Verordening voor regels omtrent inhoud en presentatie van informatie over de prestaties in het verleden.</w:t>
      </w:r>
    </w:p>
  </w:endnote>
  <w:endnote w:id="36">
    <w:p w:rsidR="009C455C" w:rsidRPr="00E625AB" w:rsidP="00B424C5" w14:paraId="67C5A6DD" w14:textId="0C8CFBB8">
      <w:pPr>
        <w:pStyle w:val="EndnoteText"/>
        <w:jc w:val="both"/>
        <w:rPr>
          <w:sz w:val="18"/>
          <w:szCs w:val="18"/>
          <w:lang w:val="nl-NL"/>
        </w:rPr>
      </w:pPr>
      <w:r w:rsidRPr="00E625AB">
        <w:rPr>
          <w:rStyle w:val="EndnoteReference"/>
          <w:lang w:val="nl-NL"/>
        </w:rPr>
        <w:endnoteRef/>
      </w:r>
      <w:r w:rsidRPr="00E625AB">
        <w:rPr>
          <w:lang w:val="nl-NL"/>
        </w:rPr>
        <w:t xml:space="preserve"> </w:t>
      </w:r>
      <w:r w:rsidRPr="00E625AB">
        <w:rPr>
          <w:sz w:val="18"/>
          <w:szCs w:val="18"/>
          <w:lang w:val="nl-NL"/>
        </w:rPr>
        <w:t>De verwijzing moet specifiek zijn en de retailbelegger naar de specifieke afdeling van de relevante informatiebron verwijzen</w:t>
      </w:r>
      <w:r w:rsidRPr="00E625AB" w:rsidR="00607F6C">
        <w:rPr>
          <w:sz w:val="18"/>
          <w:szCs w:val="18"/>
          <w:lang w:val="nl-NL"/>
        </w:rPr>
        <w:t xml:space="preserve"> (Art. 17 bis Gedelegeerde Verordening)</w:t>
      </w:r>
      <w:r w:rsidRPr="00E625AB">
        <w:rPr>
          <w:sz w:val="18"/>
          <w:szCs w:val="18"/>
          <w:lang w:val="nl-NL"/>
        </w:rPr>
        <w:t>.</w:t>
      </w:r>
    </w:p>
  </w:endnote>
  <w:endnote w:id="37">
    <w:p w:rsidR="009A79E6" w:rsidRPr="00E625AB" w:rsidP="00B424C5" w14:paraId="6775B73E" w14:textId="1690A0BE">
      <w:pPr>
        <w:pStyle w:val="EndnoteText"/>
        <w:jc w:val="both"/>
        <w:rPr>
          <w:sz w:val="18"/>
          <w:szCs w:val="18"/>
          <w:lang w:val="nl-NL"/>
        </w:rPr>
      </w:pPr>
      <w:r w:rsidRPr="00E625AB">
        <w:rPr>
          <w:rStyle w:val="EndnoteReference"/>
          <w:lang w:val="nl-NL"/>
        </w:rPr>
        <w:endnoteRef/>
      </w:r>
      <w:r w:rsidRPr="00E625AB">
        <w:rPr>
          <w:lang w:val="nl-NL"/>
        </w:rPr>
        <w:t xml:space="preserve"> </w:t>
      </w:r>
      <w:r w:rsidRPr="00E625AB">
        <w:rPr>
          <w:sz w:val="18"/>
          <w:szCs w:val="18"/>
          <w:lang w:val="nl-NL"/>
        </w:rPr>
        <w:t>Art. 8(3) Gedelegeerde Verordening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15289522"/>
      <w:docPartObj>
        <w:docPartGallery w:val="Page Numbers (Bottom of Page)"/>
        <w:docPartUnique/>
      </w:docPartObj>
    </w:sdtPr>
    <w:sdtEndPr>
      <w:rPr>
        <w:noProof/>
        <w:sz w:val="18"/>
        <w:szCs w:val="18"/>
      </w:rPr>
    </w:sdtEndPr>
    <w:sdtContent>
      <w:p w:rsidR="00B702B1" w:rsidRPr="008B64F1" w14:paraId="01FED4AB" w14:textId="66FBBB5D">
        <w:pPr>
          <w:pStyle w:val="Footer"/>
          <w:jc w:val="right"/>
          <w:rPr>
            <w:sz w:val="18"/>
            <w:szCs w:val="18"/>
            <w:lang w:val="nl-NL"/>
          </w:rPr>
        </w:pPr>
        <w:r w:rsidRPr="003A22C6">
          <w:rPr>
            <w:sz w:val="18"/>
            <w:szCs w:val="18"/>
          </w:rPr>
          <w:fldChar w:fldCharType="begin"/>
        </w:r>
        <w:r w:rsidRPr="008B64F1">
          <w:rPr>
            <w:sz w:val="18"/>
            <w:szCs w:val="18"/>
            <w:lang w:val="nl-NL"/>
          </w:rPr>
          <w:instrText xml:space="preserve"> PAGE   \* MERGEFORMAT </w:instrText>
        </w:r>
        <w:r w:rsidRPr="003A22C6">
          <w:rPr>
            <w:sz w:val="18"/>
            <w:szCs w:val="18"/>
          </w:rPr>
          <w:fldChar w:fldCharType="separate"/>
        </w:r>
        <w:r w:rsidRPr="008B64F1">
          <w:rPr>
            <w:noProof/>
            <w:sz w:val="18"/>
            <w:szCs w:val="18"/>
            <w:lang w:val="nl-NL"/>
          </w:rPr>
          <w:t>2</w:t>
        </w:r>
        <w:r w:rsidRPr="003A22C6">
          <w:rPr>
            <w:noProof/>
            <w:sz w:val="18"/>
            <w:szCs w:val="18"/>
          </w:rPr>
          <w:fldChar w:fldCharType="end"/>
        </w:r>
      </w:p>
    </w:sdtContent>
  </w:sdt>
  <w:p w:rsidR="00B702B1" w:rsidRPr="008B64F1" w:rsidP="008B64F1" w14:paraId="0A54A2D2" w14:textId="583F84A4">
    <w:pPr>
      <w:pStyle w:val="Footer"/>
      <w:rPr>
        <w:sz w:val="18"/>
        <w:szCs w:val="18"/>
        <w:lang w:val="nl-NL"/>
      </w:rPr>
    </w:pPr>
    <w:r w:rsidRPr="003E0CC6">
      <w:rPr>
        <w:sz w:val="18"/>
        <w:szCs w:val="18"/>
        <w:lang w:val="nl-NL"/>
      </w:rPr>
      <w:t>NVP model PRIIPS EID – versie 1 januari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702B1" w:rsidP="00A62C1E" w14:paraId="6C334916" w14:textId="77777777">
      <w:pPr>
        <w:spacing w:after="0" w:line="240" w:lineRule="auto"/>
      </w:pPr>
      <w:r>
        <w:separator/>
      </w:r>
    </w:p>
  </w:footnote>
  <w:footnote w:type="continuationSeparator" w:id="1">
    <w:p w:rsidR="00B702B1" w:rsidP="00A62C1E" w14:paraId="20A85CFC" w14:textId="77777777">
      <w:pPr>
        <w:spacing w:after="0" w:line="240" w:lineRule="auto"/>
      </w:pPr>
      <w:r>
        <w:continuationSeparator/>
      </w:r>
    </w:p>
  </w:footnote>
  <w:footnote w:id="2">
    <w:p w:rsidR="00B702B1" w:rsidRPr="00520979" w:rsidP="00771133" w14:paraId="5AD92C33" w14:textId="5FE456E4">
      <w:pPr>
        <w:pStyle w:val="FootnoteText"/>
        <w:jc w:val="both"/>
        <w:rPr>
          <w:sz w:val="16"/>
          <w:szCs w:val="16"/>
          <w:lang w:val="nl-NL"/>
        </w:rPr>
      </w:pPr>
      <w:r w:rsidRPr="00040099">
        <w:rPr>
          <w:rStyle w:val="FootnoteReference"/>
        </w:rPr>
        <w:footnoteRef/>
      </w:r>
      <w:r w:rsidRPr="00040099">
        <w:rPr>
          <w:lang w:val="nl-NL"/>
        </w:rPr>
        <w:t xml:space="preserve"> </w:t>
      </w:r>
      <w:r w:rsidRPr="00520979">
        <w:rPr>
          <w:sz w:val="16"/>
          <w:szCs w:val="16"/>
          <w:lang w:val="nl-NL"/>
        </w:rPr>
        <w:t>Verordening (EU) Nr. 1286/2014 van het Europees Parlement en de Raad van 26 november 2014 over essentiële-informatiedocumenten voor verpakte retailbeleggingsproducten en verzekeringsgebaseerde beleggingsproducten (PRIIP's), zoals van tijd tot tijd gewijzigd.</w:t>
      </w:r>
    </w:p>
  </w:footnote>
  <w:footnote w:id="3">
    <w:p w:rsidR="00B702B1" w:rsidRPr="00520979" w:rsidP="007A173F" w14:paraId="39F06C84" w14:textId="6744A30B">
      <w:pPr>
        <w:pStyle w:val="FootnoteText"/>
        <w:jc w:val="both"/>
        <w:rPr>
          <w:sz w:val="16"/>
          <w:szCs w:val="16"/>
          <w:lang w:val="nl-NL"/>
        </w:rPr>
      </w:pPr>
      <w:r w:rsidRPr="005653AE">
        <w:rPr>
          <w:rStyle w:val="FootnoteReference"/>
        </w:rPr>
        <w:footnoteRef/>
      </w:r>
      <w:r w:rsidRPr="005653AE">
        <w:rPr>
          <w:lang w:val="nl-NL"/>
        </w:rPr>
        <w:t xml:space="preserve"> </w:t>
      </w:r>
      <w:r w:rsidRPr="005653AE">
        <w:rPr>
          <w:sz w:val="16"/>
          <w:szCs w:val="16"/>
          <w:lang w:val="nl-NL"/>
        </w:rPr>
        <w:t>Gedelegeerde Verordening (EU) 2017/653 van de Commissie van 8 maart 2017 tot aanvulling van Verordening (EU) nr. 1286/2014 van het Europees Parlement en de Raad over essentiële-informatiedocumenten voor verpakte retailbeleggingsproducten en verzekeringsgebaseerde beleggingsproducten (priip's) door de vaststelling van technische reguleringsnormen voor de presentatie, de inhoud, de evaluatie en de herziening van essentiële-informatiedocumenten en de voorwaarden voor het voldoen aan het vereiste om dergelijke documenten te verstrekken, zoals van tijd tot tijd gewijzigd.</w:t>
      </w:r>
      <w:r w:rsidRPr="005653AE" w:rsidR="007A173F">
        <w:rPr>
          <w:sz w:val="16"/>
          <w:szCs w:val="16"/>
          <w:lang w:val="nl-NL"/>
        </w:rPr>
        <w:t xml:space="preserve"> </w:t>
      </w:r>
      <w:r w:rsidRPr="005653AE" w:rsidR="00DF08D5">
        <w:rPr>
          <w:sz w:val="16"/>
          <w:szCs w:val="16"/>
          <w:lang w:val="nl-NL"/>
        </w:rPr>
        <w:t xml:space="preserve">De ten opzichte van het vorige NVP template doorgevoerde wijzigingen </w:t>
      </w:r>
      <w:r w:rsidRPr="005653AE" w:rsidR="005653AE">
        <w:rPr>
          <w:sz w:val="16"/>
          <w:szCs w:val="16"/>
          <w:lang w:val="nl-NL"/>
        </w:rPr>
        <w:t xml:space="preserve">en hun inwerkingtreding </w:t>
      </w:r>
      <w:r w:rsidRPr="005653AE" w:rsidR="00DF08D5">
        <w:rPr>
          <w:sz w:val="16"/>
          <w:szCs w:val="16"/>
          <w:lang w:val="nl-NL"/>
        </w:rPr>
        <w:t xml:space="preserve">vinden hun oorsprong in Gedelegeerde Verordening </w:t>
      </w:r>
      <w:r w:rsidRPr="005653AE" w:rsidR="007A173F">
        <w:rPr>
          <w:sz w:val="16"/>
          <w:szCs w:val="16"/>
          <w:lang w:val="nl-NL"/>
        </w:rPr>
        <w:t>(EU) 202</w:t>
      </w:r>
      <w:r w:rsidRPr="005653AE" w:rsidR="00DF08D5">
        <w:rPr>
          <w:sz w:val="16"/>
          <w:szCs w:val="16"/>
          <w:lang w:val="nl-NL"/>
        </w:rPr>
        <w:t>1</w:t>
      </w:r>
      <w:r w:rsidRPr="005653AE" w:rsidR="007A173F">
        <w:rPr>
          <w:sz w:val="16"/>
          <w:szCs w:val="16"/>
          <w:lang w:val="nl-NL"/>
        </w:rPr>
        <w:t>/</w:t>
      </w:r>
      <w:r w:rsidRPr="005653AE" w:rsidR="00DF08D5">
        <w:rPr>
          <w:sz w:val="16"/>
          <w:szCs w:val="16"/>
          <w:lang w:val="nl-NL"/>
        </w:rPr>
        <w:t>2268</w:t>
      </w:r>
      <w:r w:rsidRPr="005653AE" w:rsidR="007A173F">
        <w:rPr>
          <w:sz w:val="16"/>
          <w:szCs w:val="16"/>
          <w:lang w:val="nl-NL"/>
        </w:rPr>
        <w:t xml:space="preserve"> </w:t>
      </w:r>
      <w:r w:rsidRPr="005653AE" w:rsidR="00DF08D5">
        <w:rPr>
          <w:sz w:val="16"/>
          <w:szCs w:val="16"/>
          <w:lang w:val="nl-NL"/>
        </w:rPr>
        <w:t xml:space="preserve">van de Commissie </w:t>
      </w:r>
      <w:r w:rsidRPr="005653AE" w:rsidR="007A173F">
        <w:rPr>
          <w:sz w:val="16"/>
          <w:szCs w:val="16"/>
          <w:lang w:val="nl-NL"/>
        </w:rPr>
        <w:t xml:space="preserve">van </w:t>
      </w:r>
      <w:r w:rsidRPr="005653AE" w:rsidR="00DF08D5">
        <w:rPr>
          <w:sz w:val="16"/>
          <w:szCs w:val="16"/>
          <w:lang w:val="nl-NL"/>
        </w:rPr>
        <w:t xml:space="preserve">6 September 2021, </w:t>
      </w:r>
      <w:r w:rsidRPr="005653AE" w:rsidR="00F343CC">
        <w:rPr>
          <w:sz w:val="16"/>
          <w:szCs w:val="16"/>
          <w:lang w:val="nl-NL"/>
        </w:rPr>
        <w:t>Rectificatie PB L 115 van 13.4.2022, blz. 187 (2021/668)</w:t>
      </w:r>
      <w:r w:rsidRPr="005653AE" w:rsidR="00DF08D5">
        <w:rPr>
          <w:sz w:val="16"/>
          <w:szCs w:val="16"/>
          <w:lang w:val="nl-NL"/>
        </w:rPr>
        <w:t xml:space="preserve"> </w:t>
      </w:r>
      <w:r w:rsidRPr="005653AE" w:rsidR="005653AE">
        <w:rPr>
          <w:sz w:val="16"/>
          <w:szCs w:val="16"/>
          <w:lang w:val="nl-NL"/>
        </w:rPr>
        <w:t>en Gedelegeerde Verordening (EU) 2022/975 van de Commissie van 17 maart 2022.</w:t>
      </w:r>
    </w:p>
  </w:footnote>
  <w:footnote w:id="4">
    <w:p w:rsidR="00B702B1" w:rsidRPr="00520979" w14:paraId="083B29B8" w14:textId="6583D6C7">
      <w:pPr>
        <w:pStyle w:val="FootnoteText"/>
        <w:rPr>
          <w:sz w:val="16"/>
          <w:szCs w:val="16"/>
          <w:lang w:val="nl-NL"/>
        </w:rPr>
      </w:pPr>
      <w:r w:rsidRPr="00875F9B">
        <w:rPr>
          <w:rStyle w:val="FootnoteReference"/>
        </w:rPr>
        <w:footnoteRef/>
      </w:r>
      <w:r w:rsidRPr="00875F9B">
        <w:rPr>
          <w:lang w:val="nl-NL"/>
        </w:rPr>
        <w:t xml:space="preserve"> </w:t>
      </w:r>
      <w:r w:rsidRPr="00520979">
        <w:rPr>
          <w:sz w:val="16"/>
          <w:szCs w:val="16"/>
          <w:lang w:val="nl-NL"/>
        </w:rPr>
        <w:t>Art. 5(1) Verordening</w:t>
      </w:r>
    </w:p>
  </w:footnote>
  <w:footnote w:id="5">
    <w:p w:rsidR="00B702B1" w:rsidRPr="00520979" w:rsidP="00275445" w14:paraId="1DA79145" w14:textId="37CBCB83">
      <w:pPr>
        <w:pStyle w:val="FootnoteText"/>
        <w:jc w:val="both"/>
        <w:rPr>
          <w:sz w:val="16"/>
          <w:szCs w:val="16"/>
          <w:lang w:val="nl-NL"/>
        </w:rPr>
      </w:pPr>
      <w:r w:rsidRPr="00875F9B">
        <w:rPr>
          <w:rStyle w:val="FootnoteReference"/>
        </w:rPr>
        <w:footnoteRef/>
      </w:r>
      <w:r w:rsidRPr="00875F9B">
        <w:rPr>
          <w:lang w:val="nl-NL"/>
        </w:rPr>
        <w:t xml:space="preserve"> </w:t>
      </w:r>
      <w:r w:rsidRPr="00520979">
        <w:rPr>
          <w:sz w:val="16"/>
          <w:szCs w:val="16"/>
          <w:lang w:val="nl-NL"/>
        </w:rPr>
        <w:t>Als bedoeld in Richtlijn 2011/61/EU van het Europees Parlement en de Raad van 8 juni 2011 inzake beheerders van alternatieve beleggingsinstellingen en tot wijziging van de Richtlijnen 2003/41/EG en 2009/65/EG en van de Verordeningen (EG) nr. 1060/2009 en (EU) nr. 1095/2010 (de “</w:t>
      </w:r>
      <w:r w:rsidRPr="00520979">
        <w:rPr>
          <w:b/>
          <w:bCs/>
          <w:sz w:val="16"/>
          <w:szCs w:val="16"/>
          <w:lang w:val="nl-NL"/>
        </w:rPr>
        <w:t>AIFMD</w:t>
      </w:r>
      <w:r w:rsidRPr="00520979">
        <w:rPr>
          <w:sz w:val="16"/>
          <w:szCs w:val="16"/>
          <w:lang w:val="nl-NL"/>
        </w:rPr>
        <w:t>”). Een PRIIP is (a) een “verpakt retailbeleggingsproduct” (</w:t>
      </w:r>
      <w:r w:rsidRPr="00520979">
        <w:rPr>
          <w:i/>
          <w:iCs/>
          <w:sz w:val="16"/>
          <w:szCs w:val="16"/>
          <w:lang w:val="nl-NL"/>
        </w:rPr>
        <w:t>packaged retail investment product</w:t>
      </w:r>
      <w:r w:rsidRPr="00520979">
        <w:rPr>
          <w:sz w:val="16"/>
          <w:szCs w:val="16"/>
          <w:lang w:val="nl-NL"/>
        </w:rPr>
        <w:t>, “</w:t>
      </w:r>
      <w:r w:rsidRPr="00520979">
        <w:rPr>
          <w:b/>
          <w:bCs/>
          <w:sz w:val="16"/>
          <w:szCs w:val="16"/>
          <w:lang w:val="nl-NL"/>
        </w:rPr>
        <w:t>PRIP</w:t>
      </w:r>
      <w:r w:rsidRPr="00520979">
        <w:rPr>
          <w:sz w:val="16"/>
          <w:szCs w:val="16"/>
          <w:lang w:val="nl-NL"/>
        </w:rPr>
        <w:t>”), of (b) een verzekeringsgebaseerd beleggingsproduct. Daarbij is een PRIP kortgezegd: beleggingen, inclusief instrumenten die worden uitgegeven door Special Purpose Vehicles, en door voor een bijzonder doel opgerichte securitiseringsentiteiten, waarbij, ongeacht de rechtsvorm van de beleggingen, het aan de retailbelegger te betalen bedrag onderhevig is aan schommelingen ten gevolge van de blootstelling aan referentiewaarden of aan de prestaties van een of meer activa die niet rechtstreeks door de retailbelegger zijn aangekocht; Art. 4(1) Verordening.</w:t>
      </w:r>
    </w:p>
  </w:footnote>
  <w:footnote w:id="6">
    <w:p w:rsidR="002731D7" w:rsidRPr="002731D7" w:rsidP="00654801" w14:paraId="38A792D4" w14:textId="3E456CC7">
      <w:pPr>
        <w:pStyle w:val="FootnoteText"/>
        <w:jc w:val="both"/>
        <w:rPr>
          <w:lang w:val="nl-NL"/>
        </w:rPr>
      </w:pPr>
      <w:r>
        <w:rPr>
          <w:rStyle w:val="FootnoteReference"/>
        </w:rPr>
        <w:footnoteRef/>
      </w:r>
      <w:r w:rsidRPr="002731D7">
        <w:rPr>
          <w:lang w:val="nl-NL"/>
        </w:rPr>
        <w:t xml:space="preserve"> </w:t>
      </w:r>
      <w:r w:rsidRPr="002731D7">
        <w:rPr>
          <w:sz w:val="16"/>
          <w:szCs w:val="16"/>
          <w:lang w:val="nl-NL"/>
        </w:rPr>
        <w:t xml:space="preserve">Ingeval een ABI uit twee of meer beleggingscompartimenten bestaat, moet voor elk individueel beleggingscompartiment een afzonderlijk </w:t>
      </w:r>
      <w:r>
        <w:rPr>
          <w:sz w:val="16"/>
          <w:szCs w:val="16"/>
          <w:lang w:val="nl-NL"/>
        </w:rPr>
        <w:t>EID</w:t>
      </w:r>
      <w:r w:rsidRPr="002731D7">
        <w:rPr>
          <w:sz w:val="16"/>
          <w:szCs w:val="16"/>
          <w:lang w:val="nl-NL"/>
        </w:rPr>
        <w:t xml:space="preserve"> worden opgesteld; zie Art. 14 bis Gedelegeerde Verordening voor </w:t>
      </w:r>
      <w:r>
        <w:rPr>
          <w:sz w:val="16"/>
          <w:szCs w:val="16"/>
          <w:lang w:val="nl-NL"/>
        </w:rPr>
        <w:t>specifieke</w:t>
      </w:r>
      <w:r w:rsidRPr="002731D7">
        <w:rPr>
          <w:sz w:val="16"/>
          <w:szCs w:val="16"/>
          <w:lang w:val="nl-NL"/>
        </w:rPr>
        <w:t xml:space="preserve"> vereisten.</w:t>
      </w:r>
    </w:p>
  </w:footnote>
  <w:footnote w:id="7">
    <w:p w:rsidR="002731D7" w:rsidRPr="002731D7" w:rsidP="00654801" w14:paraId="725ACB0C" w14:textId="701345A2">
      <w:pPr>
        <w:pStyle w:val="FootnoteText"/>
        <w:jc w:val="both"/>
        <w:rPr>
          <w:sz w:val="16"/>
          <w:szCs w:val="16"/>
          <w:lang w:val="nl-NL"/>
        </w:rPr>
      </w:pPr>
      <w:r>
        <w:rPr>
          <w:rStyle w:val="FootnoteReference"/>
        </w:rPr>
        <w:footnoteRef/>
      </w:r>
      <w:r w:rsidRPr="002731D7">
        <w:rPr>
          <w:lang w:val="nl-NL"/>
        </w:rPr>
        <w:t xml:space="preserve"> </w:t>
      </w:r>
      <w:r w:rsidRPr="002731D7">
        <w:rPr>
          <w:sz w:val="16"/>
          <w:szCs w:val="16"/>
          <w:lang w:val="nl-NL"/>
        </w:rPr>
        <w:t xml:space="preserve">Indien een ABI uit meer dan één categorie van rechten van deelneming of aandelen bestaat, moet voor elke categorie van rechten van deelneming of aandelen een EID worden opgesteld; zie Art. 14 </w:t>
      </w:r>
      <w:r>
        <w:rPr>
          <w:sz w:val="16"/>
          <w:szCs w:val="16"/>
          <w:lang w:val="nl-NL"/>
        </w:rPr>
        <w:t>ter</w:t>
      </w:r>
      <w:r w:rsidRPr="002731D7">
        <w:rPr>
          <w:sz w:val="16"/>
          <w:szCs w:val="16"/>
          <w:lang w:val="nl-NL"/>
        </w:rPr>
        <w:t xml:space="preserve"> Gedelegeerde Verordening voor </w:t>
      </w:r>
      <w:r>
        <w:rPr>
          <w:sz w:val="16"/>
          <w:szCs w:val="16"/>
          <w:lang w:val="nl-NL"/>
        </w:rPr>
        <w:t>specifieke</w:t>
      </w:r>
      <w:r w:rsidRPr="002731D7">
        <w:rPr>
          <w:sz w:val="16"/>
          <w:szCs w:val="16"/>
          <w:lang w:val="nl-NL"/>
        </w:rPr>
        <w:t xml:space="preserve"> vereisten.</w:t>
      </w:r>
    </w:p>
  </w:footnote>
  <w:footnote w:id="8">
    <w:p w:rsidR="00654801" w:rsidRPr="007A173F" w:rsidP="00654801" w14:paraId="6C744A7F" w14:textId="35A73A8E">
      <w:pPr>
        <w:pStyle w:val="FootnoteText"/>
        <w:jc w:val="both"/>
        <w:rPr>
          <w:sz w:val="16"/>
          <w:szCs w:val="16"/>
          <w:lang w:val="nl-NL"/>
        </w:rPr>
      </w:pPr>
      <w:r w:rsidRPr="007A173F">
        <w:rPr>
          <w:rStyle w:val="FootnoteReference"/>
        </w:rPr>
        <w:footnoteRef/>
      </w:r>
      <w:r w:rsidRPr="007A173F">
        <w:rPr>
          <w:lang w:val="nl-NL"/>
        </w:rPr>
        <w:t xml:space="preserve"> </w:t>
      </w:r>
      <w:r w:rsidRPr="007A173F">
        <w:rPr>
          <w:sz w:val="16"/>
          <w:szCs w:val="16"/>
          <w:lang w:val="nl-NL"/>
        </w:rPr>
        <w:t>Wanneer een ABI een aanzienlijk deel van haar activa in andere icbe’s of abi’s belegt, zijn de leden 1 en 2 van overeenkomstige toepassing. Art. 14 quater (2) Gedelegeerde Verordening.</w:t>
      </w:r>
      <w:r w:rsidRPr="007A173F" w:rsidR="007A173F">
        <w:rPr>
          <w:sz w:val="16"/>
          <w:szCs w:val="16"/>
          <w:lang w:val="nl-NL"/>
        </w:rPr>
        <w:t xml:space="preserve"> NB Het is onduidelijk naar welke leden 1 en 2 de wettekst verwijst; Art. 14 quater heeft twee leden, waarvan het tweede lid deze verwijzing bevat.</w:t>
      </w:r>
    </w:p>
  </w:footnote>
  <w:footnote w:id="9">
    <w:p w:rsidR="00654801" w:rsidRPr="00654801" w:rsidP="007A173F" w14:paraId="2D7FDBE4" w14:textId="77B447D7">
      <w:pPr>
        <w:pStyle w:val="FootnoteText"/>
        <w:jc w:val="both"/>
        <w:rPr>
          <w:sz w:val="16"/>
          <w:szCs w:val="16"/>
          <w:lang w:val="nl-NL"/>
        </w:rPr>
      </w:pPr>
      <w:r w:rsidRPr="007A173F">
        <w:rPr>
          <w:rStyle w:val="FootnoteReference"/>
        </w:rPr>
        <w:footnoteRef/>
      </w:r>
      <w:r w:rsidRPr="007A173F">
        <w:rPr>
          <w:lang w:val="nl-NL"/>
        </w:rPr>
        <w:t xml:space="preserve"> </w:t>
      </w:r>
      <w:r w:rsidRPr="007A173F">
        <w:rPr>
          <w:sz w:val="16"/>
          <w:szCs w:val="16"/>
          <w:lang w:val="nl-NL"/>
        </w:rPr>
        <w:t>Gestructureerde beleggingsfondsen zijn (onder andere) ABI’s die retailbeleggers op bepaalde vooraf bepaalde data op algoritmen gebaseerde betalingen verstrekken die verband houden met de prestaties, of het optreden van prijsveranderingen of de vervulling van andere voorwaarden, van financiële activa, indexen of referentieportefeuilles, of ABI’s met vergelijkbare kenmerken. Art. 14 sexies Gedelegeerde Verordening.</w:t>
      </w:r>
    </w:p>
  </w:footnote>
  <w:footnote w:id="10">
    <w:p w:rsidR="00B13DC4" w:rsidRPr="00B13DC4" w:rsidP="002741B3" w14:paraId="4246D9C7" w14:textId="722FCFC1">
      <w:pPr>
        <w:pStyle w:val="FootnoteText"/>
        <w:jc w:val="both"/>
        <w:rPr>
          <w:sz w:val="16"/>
          <w:szCs w:val="16"/>
          <w:lang w:val="nl-NL"/>
        </w:rPr>
      </w:pPr>
      <w:r>
        <w:rPr>
          <w:rStyle w:val="FootnoteReference"/>
        </w:rPr>
        <w:footnoteRef/>
      </w:r>
      <w:r w:rsidRPr="00B13DC4">
        <w:rPr>
          <w:lang w:val="nl-NL"/>
        </w:rPr>
        <w:t xml:space="preserve"> </w:t>
      </w:r>
      <w:r w:rsidRPr="00B13DC4">
        <w:rPr>
          <w:sz w:val="16"/>
          <w:szCs w:val="16"/>
          <w:lang w:val="nl-NL"/>
        </w:rPr>
        <w:t xml:space="preserve">Het EID bevat tevens </w:t>
      </w:r>
      <w:r>
        <w:rPr>
          <w:sz w:val="16"/>
          <w:szCs w:val="16"/>
          <w:lang w:val="nl-NL"/>
        </w:rPr>
        <w:t>specifieke bepalingen over zogenaamde feeder-icbe’s; Art</w:t>
      </w:r>
      <w:r w:rsidR="0070556F">
        <w:rPr>
          <w:sz w:val="16"/>
          <w:szCs w:val="16"/>
          <w:lang w:val="nl-NL"/>
        </w:rPr>
        <w:t>.</w:t>
      </w:r>
      <w:r>
        <w:rPr>
          <w:sz w:val="16"/>
          <w:szCs w:val="16"/>
          <w:lang w:val="nl-NL"/>
        </w:rPr>
        <w:t xml:space="preserve"> 14 quinquies</w:t>
      </w:r>
      <w:r w:rsidR="0070556F">
        <w:rPr>
          <w:sz w:val="16"/>
          <w:szCs w:val="16"/>
          <w:lang w:val="nl-NL"/>
        </w:rPr>
        <w:t xml:space="preserve"> Gedelegeerde Verordening</w:t>
      </w:r>
      <w:r>
        <w:rPr>
          <w:sz w:val="16"/>
          <w:szCs w:val="16"/>
          <w:lang w:val="nl-NL"/>
        </w:rPr>
        <w:t xml:space="preserve">. Gezien de specifieke </w:t>
      </w:r>
      <w:r w:rsidR="002741B3">
        <w:rPr>
          <w:sz w:val="16"/>
          <w:szCs w:val="16"/>
          <w:lang w:val="nl-NL"/>
        </w:rPr>
        <w:t>focus van dit document (</w:t>
      </w:r>
      <w:r w:rsidR="0070556F">
        <w:rPr>
          <w:sz w:val="16"/>
          <w:szCs w:val="16"/>
          <w:lang w:val="nl-NL"/>
        </w:rPr>
        <w:t xml:space="preserve">i.e. </w:t>
      </w:r>
      <w:r w:rsidR="002741B3">
        <w:rPr>
          <w:sz w:val="16"/>
          <w:szCs w:val="16"/>
          <w:lang w:val="nl-NL"/>
        </w:rPr>
        <w:t xml:space="preserve">de closed-end ABI) wordt in dit document niet nader ingegaan op de </w:t>
      </w:r>
      <w:r w:rsidR="0070556F">
        <w:rPr>
          <w:sz w:val="16"/>
          <w:szCs w:val="16"/>
          <w:lang w:val="nl-NL"/>
        </w:rPr>
        <w:t>EID</w:t>
      </w:r>
      <w:r w:rsidR="002741B3">
        <w:rPr>
          <w:sz w:val="16"/>
          <w:szCs w:val="16"/>
          <w:lang w:val="nl-NL"/>
        </w:rPr>
        <w:t xml:space="preserve"> vereisten met betrekking tot deze feeder-icbe’s.</w:t>
      </w:r>
      <w:r>
        <w:rPr>
          <w:sz w:val="16"/>
          <w:szCs w:val="16"/>
          <w:lang w:val="nl-NL"/>
        </w:rPr>
        <w:t xml:space="preserve"> </w:t>
      </w:r>
    </w:p>
  </w:footnote>
  <w:footnote w:id="11">
    <w:p w:rsidR="00B702B1" w:rsidRPr="00520979" w14:paraId="55308A19" w14:textId="21A82699">
      <w:pPr>
        <w:pStyle w:val="FootnoteText"/>
        <w:rPr>
          <w:sz w:val="16"/>
          <w:szCs w:val="16"/>
          <w:lang w:val="nl-NL"/>
        </w:rPr>
      </w:pPr>
      <w:r w:rsidRPr="0056144F">
        <w:rPr>
          <w:rStyle w:val="FootnoteReference"/>
        </w:rPr>
        <w:footnoteRef/>
      </w:r>
      <w:r w:rsidRPr="0056144F">
        <w:rPr>
          <w:lang w:val="nl-NL"/>
        </w:rPr>
        <w:t xml:space="preserve"> </w:t>
      </w:r>
      <w:r w:rsidRPr="00520979">
        <w:rPr>
          <w:sz w:val="16"/>
          <w:szCs w:val="16"/>
          <w:lang w:val="nl-NL"/>
        </w:rPr>
        <w:t>Art. 4(6) Verordening</w:t>
      </w:r>
    </w:p>
  </w:footnote>
  <w:footnote w:id="12">
    <w:p w:rsidR="00B702B1" w:rsidRPr="00520979" w:rsidP="00DB6CB4" w14:paraId="01E06AB1" w14:textId="41923B79">
      <w:pPr>
        <w:pStyle w:val="FootnoteText"/>
        <w:jc w:val="both"/>
        <w:rPr>
          <w:sz w:val="16"/>
          <w:szCs w:val="16"/>
          <w:lang w:val="nl-NL"/>
        </w:rPr>
      </w:pPr>
      <w:r w:rsidRPr="0056144F">
        <w:rPr>
          <w:rStyle w:val="FootnoteReference"/>
        </w:rPr>
        <w:footnoteRef/>
      </w:r>
      <w:r w:rsidRPr="0056144F">
        <w:rPr>
          <w:lang w:val="nl-NL"/>
        </w:rPr>
        <w:t xml:space="preserve"> </w:t>
      </w:r>
      <w:r w:rsidRPr="00520979">
        <w:rPr>
          <w:sz w:val="16"/>
          <w:szCs w:val="16"/>
          <w:lang w:val="nl-NL"/>
        </w:rPr>
        <w:t>Richtlijn 2014/65/EU van het Europees Parlement en de Raad van 15 mei 2014 betreffende markten voor financiële instrumenten en tot wijziging van Richtlijn 2002/92/EG en Richtlijn 2011/61/EU, zoals van tijd tot tijd gewijzigd.</w:t>
      </w:r>
    </w:p>
  </w:footnote>
  <w:footnote w:id="13">
    <w:p w:rsidR="00B702B1" w:rsidRPr="00520979" w:rsidP="00594F0E" w14:paraId="4B4E18C0" w14:textId="6447164C">
      <w:pPr>
        <w:pStyle w:val="FootnoteText"/>
        <w:jc w:val="both"/>
        <w:rPr>
          <w:sz w:val="16"/>
          <w:szCs w:val="16"/>
          <w:lang w:val="nl-NL"/>
        </w:rPr>
      </w:pPr>
      <w:r w:rsidRPr="00520979">
        <w:rPr>
          <w:rStyle w:val="FootnoteReference"/>
          <w:sz w:val="16"/>
          <w:szCs w:val="16"/>
        </w:rPr>
        <w:footnoteRef/>
      </w:r>
      <w:r w:rsidRPr="00520979">
        <w:rPr>
          <w:sz w:val="16"/>
          <w:szCs w:val="16"/>
          <w:lang w:val="nl-NL"/>
        </w:rPr>
        <w:t xml:space="preserve"> Of een klant in de zin van Richtlijn 2002/92/EG, indien die klant niet kan worden beschouwd als een professionele cliënt als omschreven in artikel 4, lid 1, punt 10, MiFID II.</w:t>
      </w:r>
    </w:p>
  </w:footnote>
  <w:footnote w:id="14">
    <w:p w:rsidR="00B702B1" w:rsidRPr="00520979" w14:paraId="2F70BAC6" w14:textId="6C7DBEB9">
      <w:pPr>
        <w:pStyle w:val="FootnoteText"/>
        <w:rPr>
          <w:sz w:val="16"/>
          <w:szCs w:val="16"/>
          <w:lang w:val="nl-NL"/>
        </w:rPr>
      </w:pPr>
      <w:r>
        <w:rPr>
          <w:rStyle w:val="FootnoteReference"/>
        </w:rPr>
        <w:footnoteRef/>
      </w:r>
      <w:r w:rsidRPr="0027629C">
        <w:rPr>
          <w:lang w:val="nl-NL"/>
        </w:rPr>
        <w:t xml:space="preserve"> </w:t>
      </w:r>
      <w:r w:rsidRPr="00520979">
        <w:rPr>
          <w:sz w:val="16"/>
          <w:szCs w:val="16"/>
          <w:lang w:val="nl-NL"/>
        </w:rPr>
        <w:t>Art. 9 Verordening</w:t>
      </w:r>
    </w:p>
  </w:footnote>
  <w:footnote w:id="15">
    <w:p w:rsidR="00B702B1" w:rsidRPr="00520979" w:rsidP="0056144F" w14:paraId="75983087" w14:textId="2F0AB3A6">
      <w:pPr>
        <w:pStyle w:val="FootnoteText"/>
        <w:jc w:val="both"/>
        <w:rPr>
          <w:sz w:val="16"/>
          <w:szCs w:val="16"/>
          <w:lang w:val="nl-NL"/>
        </w:rPr>
      </w:pPr>
      <w:r w:rsidRPr="0056144F">
        <w:rPr>
          <w:rStyle w:val="FootnoteReference"/>
        </w:rPr>
        <w:footnoteRef/>
      </w:r>
      <w:r w:rsidRPr="0056144F">
        <w:rPr>
          <w:lang w:val="nl-NL"/>
        </w:rPr>
        <w:t xml:space="preserve"> </w:t>
      </w:r>
      <w:r w:rsidRPr="00520979">
        <w:rPr>
          <w:sz w:val="16"/>
          <w:szCs w:val="16"/>
          <w:lang w:val="nl-NL"/>
        </w:rPr>
        <w:t>Art. 6(4) Verordening</w:t>
      </w:r>
    </w:p>
  </w:footnote>
  <w:footnote w:id="16">
    <w:p w:rsidR="00B702B1" w:rsidRPr="00520979" w:rsidP="007353D5" w14:paraId="6A8AAB8B" w14:textId="6F63AD82">
      <w:pPr>
        <w:pStyle w:val="FootnoteText"/>
        <w:jc w:val="both"/>
        <w:rPr>
          <w:sz w:val="16"/>
          <w:szCs w:val="16"/>
          <w:lang w:val="nl-NL"/>
        </w:rPr>
      </w:pPr>
      <w:r w:rsidRPr="0056144F">
        <w:rPr>
          <w:rStyle w:val="FootnoteReference"/>
          <w:sz w:val="18"/>
          <w:szCs w:val="18"/>
        </w:rPr>
        <w:footnoteRef/>
      </w:r>
      <w:r w:rsidRPr="0056144F">
        <w:rPr>
          <w:sz w:val="18"/>
          <w:szCs w:val="18"/>
          <w:lang w:val="nl-NL"/>
        </w:rPr>
        <w:t xml:space="preserve"> </w:t>
      </w:r>
      <w:r w:rsidRPr="00520979">
        <w:rPr>
          <w:sz w:val="16"/>
          <w:szCs w:val="16"/>
          <w:lang w:val="nl-NL"/>
        </w:rPr>
        <w:t>Het kan verwijzen naar andere documenten zoals een prospectus, indien van toepassing, en alleen wanneer de verwijzing te maken heeft met de informatie die uit hoofde van de Verordening in het EID moet staan; Art. 6(2) Verordening.</w:t>
      </w:r>
      <w:r w:rsidR="00613EBB">
        <w:rPr>
          <w:sz w:val="16"/>
          <w:szCs w:val="16"/>
          <w:lang w:val="nl-NL"/>
        </w:rPr>
        <w:t xml:space="preserve"> </w:t>
      </w:r>
      <w:r w:rsidR="007353D5">
        <w:rPr>
          <w:sz w:val="16"/>
          <w:szCs w:val="16"/>
          <w:lang w:val="nl-NL"/>
        </w:rPr>
        <w:t>I</w:t>
      </w:r>
      <w:r w:rsidRPr="007353D5" w:rsidR="007353D5">
        <w:rPr>
          <w:sz w:val="16"/>
          <w:szCs w:val="16"/>
          <w:lang w:val="nl-NL"/>
        </w:rPr>
        <w:t xml:space="preserve">n het </w:t>
      </w:r>
      <w:r w:rsidR="007353D5">
        <w:rPr>
          <w:sz w:val="16"/>
          <w:szCs w:val="16"/>
          <w:lang w:val="nl-NL"/>
        </w:rPr>
        <w:t>EID mogen</w:t>
      </w:r>
      <w:r w:rsidRPr="007353D5" w:rsidR="007353D5">
        <w:rPr>
          <w:sz w:val="16"/>
          <w:szCs w:val="16"/>
          <w:lang w:val="nl-NL"/>
        </w:rPr>
        <w:t xml:space="preserve"> verwijzingen</w:t>
      </w:r>
      <w:r w:rsidR="007353D5">
        <w:rPr>
          <w:sz w:val="16"/>
          <w:szCs w:val="16"/>
          <w:lang w:val="nl-NL"/>
        </w:rPr>
        <w:t xml:space="preserve"> </w:t>
      </w:r>
      <w:r w:rsidRPr="007353D5" w:rsidR="007353D5">
        <w:rPr>
          <w:sz w:val="16"/>
          <w:szCs w:val="16"/>
          <w:lang w:val="nl-NL"/>
        </w:rPr>
        <w:t>naar andere informatiebronnen, zoals het prospectus en jaarlijkse of halfjaarlijkse verslagen, worden opgenomen, mits alle</w:t>
      </w:r>
      <w:r w:rsidR="007353D5">
        <w:rPr>
          <w:sz w:val="16"/>
          <w:szCs w:val="16"/>
          <w:lang w:val="nl-NL"/>
        </w:rPr>
        <w:t xml:space="preserve"> </w:t>
      </w:r>
      <w:r w:rsidRPr="007353D5" w:rsidR="007353D5">
        <w:rPr>
          <w:sz w:val="16"/>
          <w:szCs w:val="16"/>
          <w:lang w:val="nl-NL"/>
        </w:rPr>
        <w:t>informatie die voor de retailbeleggers van fundamenteel belang is om de essentiële elementen van de belegging te</w:t>
      </w:r>
      <w:r w:rsidR="007353D5">
        <w:rPr>
          <w:sz w:val="16"/>
          <w:szCs w:val="16"/>
          <w:lang w:val="nl-NL"/>
        </w:rPr>
        <w:t xml:space="preserve"> </w:t>
      </w:r>
      <w:r w:rsidRPr="007353D5" w:rsidR="007353D5">
        <w:rPr>
          <w:sz w:val="16"/>
          <w:szCs w:val="16"/>
          <w:lang w:val="nl-NL"/>
        </w:rPr>
        <w:t>begrijpen, in het essentiële-informatiedocument zelf is opgenomen</w:t>
      </w:r>
      <w:r w:rsidR="007353D5">
        <w:rPr>
          <w:sz w:val="16"/>
          <w:szCs w:val="16"/>
          <w:lang w:val="nl-NL"/>
        </w:rPr>
        <w:t>; Art</w:t>
      </w:r>
      <w:r w:rsidR="00F46C22">
        <w:rPr>
          <w:sz w:val="16"/>
          <w:szCs w:val="16"/>
          <w:lang w:val="nl-NL"/>
        </w:rPr>
        <w:t>.</w:t>
      </w:r>
      <w:r w:rsidR="007353D5">
        <w:rPr>
          <w:sz w:val="16"/>
          <w:szCs w:val="16"/>
          <w:lang w:val="nl-NL"/>
        </w:rPr>
        <w:t xml:space="preserve"> 17 bis Gedelegeerde Verordening.</w:t>
      </w:r>
    </w:p>
  </w:footnote>
  <w:footnote w:id="17">
    <w:p w:rsidR="00B702B1" w:rsidRPr="00520979" w:rsidP="001D34D1" w14:paraId="64E3E11D" w14:textId="68AFEEC6">
      <w:pPr>
        <w:pStyle w:val="FootnoteText"/>
        <w:jc w:val="both"/>
        <w:rPr>
          <w:sz w:val="16"/>
          <w:szCs w:val="16"/>
          <w:lang w:val="nl-NL"/>
        </w:rPr>
      </w:pPr>
      <w:r w:rsidRPr="00FC6B9A">
        <w:rPr>
          <w:rStyle w:val="FootnoteReference"/>
          <w:sz w:val="18"/>
          <w:szCs w:val="18"/>
        </w:rPr>
        <w:footnoteRef/>
      </w:r>
      <w:r w:rsidRPr="00FC6B9A">
        <w:rPr>
          <w:sz w:val="18"/>
          <w:szCs w:val="18"/>
          <w:lang w:val="nl-NL"/>
        </w:rPr>
        <w:t xml:space="preserve"> </w:t>
      </w:r>
      <w:r w:rsidRPr="00520979">
        <w:rPr>
          <w:sz w:val="16"/>
          <w:szCs w:val="16"/>
          <w:lang w:val="nl-NL"/>
        </w:rPr>
        <w:t xml:space="preserve">Art. 7(1) Verordening: Het EID wordt opgesteld in de officiële talen of in één van de officiële talen welke wordt gebruikt in het deel van de lidstaat waar het PRIIP wordt gedistribueerd, of in een andere taal die door de bevoegde autoriteiten van deze lidstaat wordt aanvaard (of het wordt, indien het in een andere taal is opgesteld, in één van deze zalen vertaald). </w:t>
      </w:r>
      <w:bookmarkStart w:id="4" w:name="_Hlk37762535"/>
      <w:r w:rsidRPr="00520979">
        <w:rPr>
          <w:sz w:val="16"/>
          <w:szCs w:val="16"/>
          <w:lang w:val="nl-NL"/>
        </w:rPr>
        <w:t>Dit is een lidstaat optie voor implementatie van de Verordening, waarvan Nederland geen gebruik maakt (zie de transponeringstabel in de</w:t>
      </w:r>
      <w:bookmarkEnd w:id="4"/>
      <w:r w:rsidRPr="00520979">
        <w:rPr>
          <w:sz w:val="16"/>
          <w:szCs w:val="16"/>
          <w:lang w:val="nl-NL"/>
        </w:rPr>
        <w:t xml:space="preserve"> Memorie van Toelichting bij de Wijziging van de Wet op het financieel toezicht in verband met de implementatie van de Verordening (TK 2016-2017, 34 639, nr. 3, de “</w:t>
      </w:r>
      <w:r w:rsidRPr="00520979">
        <w:rPr>
          <w:b/>
          <w:bCs/>
          <w:sz w:val="16"/>
          <w:szCs w:val="16"/>
          <w:lang w:val="nl-NL"/>
        </w:rPr>
        <w:t>MvT</w:t>
      </w:r>
      <w:r w:rsidRPr="00520979">
        <w:rPr>
          <w:sz w:val="16"/>
          <w:szCs w:val="16"/>
          <w:lang w:val="nl-NL"/>
        </w:rPr>
        <w:t>”). Wanneer een PRIIP in een lidstaat gepromoot wordt met marketingdocumenten die zijn opgesteld in één of meer van de officiële talen van die lidstaat, wordt het EID ten minste in dezelfde officiële talen opgesteld. De AFM geeft in de Veelgestelde Vragen over PRIIPs aan: “Voor PRIIPs die in Nederland gedistribueerd worden moet een Nederlandstalig Essentiële-informatiedocument (Eid) worden opgesteld. De AFM aanvaardt geen andere taal dan het Nederlands. Als het Eid in een andere taal is opgesteld, moet deze door de ontwikkelaar in het Nederlands vertaald worden. Deze vertaling moet een getrouwe en accurate weergave zijn van het originele Eid. De PRIIP-ontwikkelaar is verantwoordelijk voor de juistheid van het Eid en de eventuele Nederlandse vertaling ervan.”</w:t>
      </w:r>
    </w:p>
  </w:footnote>
  <w:footnote w:id="18">
    <w:p w:rsidR="00B702B1" w:rsidRPr="00520979" w14:paraId="0F6C83E9" w14:textId="5FAE2C4B">
      <w:pPr>
        <w:pStyle w:val="FootnoteText"/>
        <w:rPr>
          <w:sz w:val="16"/>
          <w:szCs w:val="16"/>
          <w:lang w:val="nl-NL"/>
        </w:rPr>
      </w:pPr>
      <w:r>
        <w:rPr>
          <w:rStyle w:val="FootnoteReference"/>
        </w:rPr>
        <w:footnoteRef/>
      </w:r>
      <w:r w:rsidRPr="001D7017">
        <w:rPr>
          <w:lang w:val="nl-NL"/>
        </w:rPr>
        <w:t xml:space="preserve"> </w:t>
      </w:r>
      <w:r w:rsidRPr="00520979">
        <w:rPr>
          <w:sz w:val="16"/>
          <w:szCs w:val="16"/>
          <w:lang w:val="nl-NL"/>
        </w:rPr>
        <w:t>Art. 6(2) Verordening</w:t>
      </w:r>
    </w:p>
  </w:footnote>
  <w:footnote w:id="19">
    <w:p w:rsidR="00B702B1" w:rsidRPr="00520979" w:rsidP="002D0965" w14:paraId="15400BC6" w14:textId="118258A4">
      <w:pPr>
        <w:pStyle w:val="FootnoteText"/>
        <w:jc w:val="both"/>
        <w:rPr>
          <w:sz w:val="16"/>
          <w:szCs w:val="16"/>
          <w:lang w:val="nl-NL"/>
        </w:rPr>
      </w:pPr>
      <w:r w:rsidRPr="001D7017">
        <w:rPr>
          <w:rStyle w:val="FootnoteReference"/>
          <w:sz w:val="18"/>
          <w:szCs w:val="18"/>
        </w:rPr>
        <w:footnoteRef/>
      </w:r>
      <w:r w:rsidRPr="001D7017">
        <w:rPr>
          <w:sz w:val="18"/>
          <w:szCs w:val="18"/>
          <w:lang w:val="nl-NL"/>
        </w:rPr>
        <w:t xml:space="preserve"> </w:t>
      </w:r>
      <w:r w:rsidRPr="00520979">
        <w:rPr>
          <w:sz w:val="16"/>
          <w:szCs w:val="16"/>
          <w:lang w:val="nl-NL"/>
        </w:rPr>
        <w:t xml:space="preserve">Art. 15(1) en 16 Gedelegeerde Verordening. Als een closed-end fonds haar laatste closing heeft gehad, lijkt het nut van herziening beperkt. Het zou voor secondary transacties gebruikt kunnen worden. </w:t>
      </w:r>
      <w:bookmarkStart w:id="5" w:name="_Hlk43293579"/>
      <w:r w:rsidRPr="00520979">
        <w:rPr>
          <w:sz w:val="16"/>
          <w:szCs w:val="16"/>
          <w:lang w:val="nl-NL"/>
        </w:rPr>
        <w:t>De AFM heeft in het verleden het standpunt ingenomen dat het EID beschikbaar moet blijven, en dat het ook in geval van een secondary de beheerder is die verantwoordelijk is voor het ter beschikking stellen van het EID.</w:t>
      </w:r>
      <w:bookmarkEnd w:id="5"/>
    </w:p>
  </w:footnote>
  <w:footnote w:id="20">
    <w:p w:rsidR="00B702B1" w:rsidRPr="00520979" w:rsidP="00202F50" w14:paraId="32D35F99" w14:textId="33B7A429">
      <w:pPr>
        <w:pStyle w:val="FootnoteText"/>
        <w:jc w:val="both"/>
        <w:rPr>
          <w:sz w:val="16"/>
          <w:szCs w:val="16"/>
          <w:lang w:val="nl-NL"/>
        </w:rPr>
      </w:pPr>
      <w:r w:rsidRPr="00971ACF">
        <w:rPr>
          <w:rStyle w:val="FootnoteReference"/>
        </w:rPr>
        <w:footnoteRef/>
      </w:r>
      <w:r w:rsidRPr="00971ACF">
        <w:rPr>
          <w:lang w:val="nl-NL"/>
        </w:rPr>
        <w:t xml:space="preserve"> </w:t>
      </w:r>
      <w:r w:rsidRPr="00520979">
        <w:rPr>
          <w:sz w:val="16"/>
          <w:szCs w:val="16"/>
          <w:lang w:val="nl-NL"/>
        </w:rPr>
        <w:t xml:space="preserve">De </w:t>
      </w:r>
      <w:bookmarkStart w:id="6" w:name="_Hlk37777156"/>
      <w:r w:rsidRPr="00520979">
        <w:rPr>
          <w:sz w:val="16"/>
          <w:szCs w:val="16"/>
          <w:lang w:val="nl-NL"/>
        </w:rPr>
        <w:t xml:space="preserve">AFM merkt hierover in de Veelgestelde vragen over PRIIPs </w:t>
      </w:r>
      <w:bookmarkEnd w:id="6"/>
      <w:r w:rsidRPr="00520979">
        <w:rPr>
          <w:sz w:val="16"/>
          <w:szCs w:val="16"/>
          <w:lang w:val="nl-NL"/>
        </w:rPr>
        <w:t>op: “Moet een herzien Eid opnieuw aan bestaande klanten verstrekt worden?” “Een PRIIP-ontwikkelaar moet een herziene versie van een Eid direct beschikbaar stellen. Het is voldoende om deze op de website te publiceren. Het aangepaste Eid hoeft niet actief aan bestaande klanten verstrekt te worden. Het is aan de PRIIP-ontwikkelaar om de overweging te maken om het Eid wel te verstrekken aan bestaande klanten, als hij meent dat dat toegevoegde waarde heeft voor de retailbelegger.”</w:t>
      </w:r>
    </w:p>
  </w:footnote>
  <w:footnote w:id="21">
    <w:p w:rsidR="00B702B1" w:rsidRPr="00520979" w14:paraId="01E19A46" w14:textId="1A64F401">
      <w:pPr>
        <w:pStyle w:val="FootnoteText"/>
        <w:rPr>
          <w:sz w:val="16"/>
          <w:szCs w:val="16"/>
          <w:lang w:val="nl-NL"/>
        </w:rPr>
      </w:pPr>
      <w:r w:rsidRPr="00E46010">
        <w:rPr>
          <w:rStyle w:val="FootnoteReference"/>
        </w:rPr>
        <w:footnoteRef/>
      </w:r>
      <w:r w:rsidRPr="00E46010">
        <w:rPr>
          <w:lang w:val="nl-NL"/>
        </w:rPr>
        <w:t xml:space="preserve"> </w:t>
      </w:r>
      <w:bookmarkStart w:id="7" w:name="_Hlk36752266"/>
      <w:r w:rsidRPr="00520979">
        <w:rPr>
          <w:sz w:val="16"/>
          <w:szCs w:val="16"/>
          <w:lang w:val="nl-NL"/>
        </w:rPr>
        <w:t>Art. 5(1) Verordening</w:t>
      </w:r>
      <w:bookmarkEnd w:id="7"/>
      <w:r w:rsidR="007353D5">
        <w:rPr>
          <w:sz w:val="16"/>
          <w:szCs w:val="16"/>
          <w:lang w:val="nl-NL"/>
        </w:rPr>
        <w:t xml:space="preserve"> en Art</w:t>
      </w:r>
      <w:r w:rsidR="00017CCF">
        <w:rPr>
          <w:sz w:val="16"/>
          <w:szCs w:val="16"/>
          <w:lang w:val="nl-NL"/>
        </w:rPr>
        <w:t>.</w:t>
      </w:r>
      <w:r w:rsidR="007353D5">
        <w:rPr>
          <w:sz w:val="16"/>
          <w:szCs w:val="16"/>
          <w:lang w:val="nl-NL"/>
        </w:rPr>
        <w:t xml:space="preserve"> 8(5) van de Verordening</w:t>
      </w:r>
    </w:p>
  </w:footnote>
  <w:footnote w:id="22">
    <w:p w:rsidR="00B702B1" w:rsidRPr="00520979" w14:paraId="3D0DC522" w14:textId="4C40C87F">
      <w:pPr>
        <w:pStyle w:val="FootnoteText"/>
        <w:rPr>
          <w:sz w:val="16"/>
          <w:szCs w:val="16"/>
          <w:lang w:val="nl-NL"/>
        </w:rPr>
      </w:pPr>
      <w:r w:rsidRPr="00E46010">
        <w:rPr>
          <w:rStyle w:val="FootnoteReference"/>
        </w:rPr>
        <w:footnoteRef/>
      </w:r>
      <w:r w:rsidRPr="00E46010">
        <w:rPr>
          <w:lang w:val="nl-NL"/>
        </w:rPr>
        <w:t xml:space="preserve"> </w:t>
      </w:r>
      <w:r w:rsidRPr="00520979">
        <w:rPr>
          <w:sz w:val="16"/>
          <w:szCs w:val="16"/>
          <w:lang w:val="nl-NL"/>
        </w:rPr>
        <w:t>Art. 9 Verordening</w:t>
      </w:r>
    </w:p>
  </w:footnote>
  <w:footnote w:id="23">
    <w:p w:rsidR="00B702B1" w:rsidRPr="00520979" w:rsidP="002C24F3" w14:paraId="2C585906" w14:textId="3AE9AE7A">
      <w:pPr>
        <w:pStyle w:val="FootnoteText"/>
        <w:jc w:val="both"/>
        <w:rPr>
          <w:sz w:val="16"/>
          <w:szCs w:val="16"/>
          <w:lang w:val="nl-NL"/>
        </w:rPr>
      </w:pPr>
      <w:r w:rsidRPr="00E46010">
        <w:rPr>
          <w:rStyle w:val="FootnoteReference"/>
        </w:rPr>
        <w:footnoteRef/>
      </w:r>
      <w:r w:rsidRPr="00E46010">
        <w:rPr>
          <w:lang w:val="nl-NL"/>
        </w:rPr>
        <w:t xml:space="preserve"> </w:t>
      </w:r>
      <w:r w:rsidRPr="00520979">
        <w:rPr>
          <w:sz w:val="16"/>
          <w:szCs w:val="16"/>
          <w:lang w:val="nl-NL"/>
        </w:rPr>
        <w:t>Art. 5(2) Verordening: Elke lidstaat kan van de PRIIP-ontwikkelaar of van de persoon die een PRIIP verkoopt vereisen dat deze het EID vooraf verstrekt aan de voor de in die lidstaat verhandelde PRIIP's bevoegde autoriteit. Dit is een lidstaat optie voor implementatie van de Verordening, waarvan Nederland geen gebruik maakt (zie de transponeringstabel in de MvT).</w:t>
      </w:r>
    </w:p>
  </w:footnote>
  <w:footnote w:id="24">
    <w:p w:rsidR="00B702B1" w:rsidRPr="00520979" w14:paraId="2FB35EFF" w14:textId="7E3A1EDC">
      <w:pPr>
        <w:pStyle w:val="FootnoteText"/>
        <w:rPr>
          <w:sz w:val="16"/>
          <w:szCs w:val="16"/>
          <w:lang w:val="nl-NL"/>
        </w:rPr>
      </w:pPr>
      <w:r w:rsidRPr="00520979">
        <w:rPr>
          <w:rStyle w:val="FootnoteReference"/>
          <w:sz w:val="16"/>
          <w:szCs w:val="16"/>
        </w:rPr>
        <w:footnoteRef/>
      </w:r>
      <w:r w:rsidRPr="00520979">
        <w:rPr>
          <w:sz w:val="16"/>
          <w:szCs w:val="16"/>
          <w:lang w:val="nl-NL"/>
        </w:rPr>
        <w:t xml:space="preserve"> </w:t>
      </w:r>
      <w:bookmarkStart w:id="8" w:name="_Hlk36752341"/>
      <w:r w:rsidRPr="00520979">
        <w:rPr>
          <w:sz w:val="16"/>
          <w:szCs w:val="16"/>
          <w:lang w:val="nl-NL"/>
        </w:rPr>
        <w:t>Art. 13(1) Verordening</w:t>
      </w:r>
      <w:bookmarkEnd w:id="8"/>
    </w:p>
  </w:footnote>
  <w:footnote w:id="25">
    <w:p w:rsidR="00B702B1" w:rsidRPr="00520979" w:rsidP="00FE7701" w14:paraId="6C4C776C" w14:textId="06E33C4B">
      <w:pPr>
        <w:pStyle w:val="FootnoteText"/>
        <w:jc w:val="both"/>
        <w:rPr>
          <w:sz w:val="16"/>
          <w:szCs w:val="16"/>
          <w:lang w:val="nl-NL"/>
        </w:rPr>
      </w:pPr>
      <w:r w:rsidRPr="00E46010">
        <w:rPr>
          <w:rStyle w:val="FootnoteReference"/>
        </w:rPr>
        <w:footnoteRef/>
      </w:r>
      <w:r w:rsidRPr="00E46010">
        <w:rPr>
          <w:lang w:val="nl-NL"/>
        </w:rPr>
        <w:t xml:space="preserve"> </w:t>
      </w:r>
      <w:r w:rsidRPr="00520979">
        <w:rPr>
          <w:sz w:val="16"/>
          <w:szCs w:val="16"/>
          <w:lang w:val="nl-NL"/>
        </w:rPr>
        <w:t>De AFM behandelt in de Veelgestelde vragen over PRIIPs de vraag “Moet een aanbieder (ontwikkelaar) een Eid opstellen wanneer een product (met de kenmerken van een PRIIP) niet bedoeld is voor verkoop aan retailbeleggers, maar het mogelijk toch bij deze retailbeleggers terecht kan komen?” De AFM beantwoordt deze vraag als volgt: “Nee, dit is niet nodig. De PRIIP’s-verordening stelt dat een Eid alleen hoeft te worden opgesteld als de ontwikkelaar aangeeft dat het product aan retailbeleggers mag worden verkocht. Om het risico te verkleinen dat retailbeleggers producten kopen die niet geschikt zijn voor hen, vindt de AFM het wenselijk dat aanbieders (ontwikkelaars) in hun reclamemateriaal en productinformatie duidelijk aangeven dat het product niet geschikt is voor retailbeleggers. Bovendien is het wenselijk dat de ontwikkelaar de ketenpartners expliciet meldt dat het product ongeschikt is voor retailbeleggers.”</w:t>
      </w:r>
    </w:p>
  </w:footnote>
  <w:footnote w:id="26">
    <w:p w:rsidR="00B702B1" w:rsidRPr="00520979" w:rsidP="00FF14A4" w14:paraId="13E92F47" w14:textId="63D40269">
      <w:pPr>
        <w:pStyle w:val="FootnoteText"/>
        <w:jc w:val="both"/>
        <w:rPr>
          <w:sz w:val="16"/>
          <w:szCs w:val="16"/>
          <w:lang w:val="nl-NL"/>
        </w:rPr>
      </w:pPr>
      <w:r w:rsidRPr="00E46010">
        <w:rPr>
          <w:rStyle w:val="FootnoteReference"/>
        </w:rPr>
        <w:footnoteRef/>
      </w:r>
      <w:r w:rsidRPr="00E46010">
        <w:rPr>
          <w:lang w:val="nl-NL"/>
        </w:rPr>
        <w:t xml:space="preserve"> </w:t>
      </w:r>
      <w:r w:rsidRPr="00520979">
        <w:rPr>
          <w:sz w:val="16"/>
          <w:szCs w:val="16"/>
          <w:lang w:val="nl-NL"/>
        </w:rPr>
        <w:t xml:space="preserve">Voor wat betreft de vraag of het de beheerder of de verkoper is op wie de plicht rust een EID </w:t>
      </w:r>
      <w:r w:rsidRPr="00520979" w:rsidR="00E625AB">
        <w:rPr>
          <w:sz w:val="16"/>
          <w:szCs w:val="16"/>
          <w:lang w:val="nl-NL"/>
        </w:rPr>
        <w:t>ter beschikking</w:t>
      </w:r>
      <w:r w:rsidRPr="00520979">
        <w:rPr>
          <w:sz w:val="16"/>
          <w:szCs w:val="16"/>
          <w:lang w:val="nl-NL"/>
        </w:rPr>
        <w:t xml:space="preserve"> te stellen bij een secondary transactie; art. 4(5)van de Verordening geeft aan dat de “persoon die een PRIIP verkoopt”: “een persoon die een overeenkomst voor een PRIIP aanbiedt aan of afsluit met een retailbelegger” is. Dat zou kunnen wijzen op de belegger die het belang overdraagt, maar de AFM heeft in het verleden het standpunt ingenomen dat het ook in geval van een secondary de beheerder is die verantwoordelijk is voor het ter beschikking stellen van het EID.</w:t>
      </w:r>
    </w:p>
  </w:footnote>
  <w:footnote w:id="27">
    <w:p w:rsidR="00B702B1" w:rsidRPr="0070556F" w:rsidP="00C52385" w14:paraId="6436BB73" w14:textId="25B36760">
      <w:pPr>
        <w:pStyle w:val="FootnoteText"/>
        <w:jc w:val="both"/>
        <w:rPr>
          <w:sz w:val="16"/>
          <w:szCs w:val="16"/>
          <w:lang w:val="nl-NL"/>
        </w:rPr>
      </w:pPr>
      <w:r>
        <w:rPr>
          <w:rStyle w:val="FootnoteReference"/>
        </w:rPr>
        <w:footnoteRef/>
      </w:r>
      <w:r w:rsidRPr="001558EE">
        <w:rPr>
          <w:lang w:val="nl-NL"/>
        </w:rPr>
        <w:t xml:space="preserve"> </w:t>
      </w:r>
      <w:r w:rsidRPr="00520979">
        <w:rPr>
          <w:sz w:val="16"/>
          <w:szCs w:val="16"/>
          <w:lang w:val="nl-NL"/>
        </w:rPr>
        <w:t xml:space="preserve">Voorwaarden: (i) het gebruik van de duurzame drager is geschikt voor de dienstverlening die plaatsvindt tussen de persoon die advies over een PRIIP geeft of die een PRIIP verkoopt, en de retailbelegger; en (ii) de </w:t>
      </w:r>
      <w:r w:rsidRPr="0070556F">
        <w:rPr>
          <w:sz w:val="16"/>
          <w:szCs w:val="16"/>
          <w:lang w:val="nl-NL"/>
        </w:rPr>
        <w:t>retailbelegger heeft kunnen kiezen tussen informatie op papier of op een duurzame drager en heeft aantoonbaar gekozen voor de andere drager</w:t>
      </w:r>
      <w:r w:rsidRPr="0070556F" w:rsidR="0070556F">
        <w:rPr>
          <w:sz w:val="16"/>
          <w:szCs w:val="16"/>
          <w:lang w:val="nl-NL"/>
        </w:rPr>
        <w:t>;</w:t>
      </w:r>
      <w:r w:rsidRPr="0070556F">
        <w:rPr>
          <w:sz w:val="16"/>
          <w:szCs w:val="16"/>
          <w:lang w:val="nl-NL"/>
        </w:rPr>
        <w:t xml:space="preserve"> Art. 14 lid 4</w:t>
      </w:r>
      <w:r w:rsidRPr="0070556F" w:rsidR="0070556F">
        <w:rPr>
          <w:sz w:val="16"/>
          <w:szCs w:val="16"/>
          <w:lang w:val="nl-NL"/>
        </w:rPr>
        <w:t xml:space="preserve"> Verordening</w:t>
      </w:r>
      <w:r w:rsidRPr="0070556F">
        <w:rPr>
          <w:sz w:val="16"/>
          <w:szCs w:val="16"/>
          <w:lang w:val="nl-NL"/>
        </w:rPr>
        <w:t>.</w:t>
      </w:r>
      <w:r w:rsidR="0070556F">
        <w:rPr>
          <w:sz w:val="16"/>
          <w:szCs w:val="16"/>
          <w:lang w:val="nl-NL"/>
        </w:rPr>
        <w:t xml:space="preserve"> </w:t>
      </w:r>
    </w:p>
  </w:footnote>
  <w:footnote w:id="28">
    <w:p w:rsidR="00B702B1" w:rsidRPr="00520979" w:rsidP="00E625AB" w14:paraId="1BC30224" w14:textId="367A7606">
      <w:pPr>
        <w:pStyle w:val="FootnoteText"/>
        <w:jc w:val="both"/>
        <w:rPr>
          <w:sz w:val="16"/>
          <w:szCs w:val="16"/>
          <w:lang w:val="nl-NL"/>
        </w:rPr>
      </w:pPr>
      <w:r w:rsidRPr="00520979">
        <w:rPr>
          <w:rStyle w:val="FootnoteReference"/>
          <w:sz w:val="16"/>
          <w:szCs w:val="16"/>
        </w:rPr>
        <w:footnoteRef/>
      </w:r>
      <w:r w:rsidRPr="00520979">
        <w:rPr>
          <w:sz w:val="16"/>
          <w:szCs w:val="16"/>
          <w:lang w:val="nl-NL"/>
        </w:rPr>
        <w:t xml:space="preserve"> Art. 14(2) Verordening</w:t>
      </w:r>
      <w:r w:rsidR="00C52385">
        <w:rPr>
          <w:sz w:val="16"/>
          <w:szCs w:val="16"/>
          <w:lang w:val="nl-NL"/>
        </w:rPr>
        <w:t xml:space="preserve">. Hierbij moet aan de voorwaarden van Art. 14 lid 5 Verordening worden voldaan. </w:t>
      </w:r>
    </w:p>
  </w:footnote>
  <w:footnote w:id="29">
    <w:p w:rsidR="00B702B1" w:rsidRPr="00520979" w:rsidP="00E625AB" w14:paraId="188F107E" w14:textId="34E77C7C">
      <w:pPr>
        <w:pStyle w:val="FootnoteText"/>
        <w:jc w:val="both"/>
        <w:rPr>
          <w:sz w:val="16"/>
          <w:szCs w:val="16"/>
          <w:lang w:val="nl-NL"/>
        </w:rPr>
      </w:pPr>
      <w:r w:rsidRPr="005F4A57">
        <w:rPr>
          <w:rStyle w:val="FootnoteReference"/>
        </w:rPr>
        <w:footnoteRef/>
      </w:r>
      <w:r w:rsidRPr="005F4A57">
        <w:rPr>
          <w:lang w:val="nl-NL"/>
        </w:rPr>
        <w:t xml:space="preserve"> </w:t>
      </w:r>
      <w:r w:rsidRPr="00520979">
        <w:rPr>
          <w:sz w:val="16"/>
          <w:szCs w:val="16"/>
          <w:lang w:val="nl-NL"/>
        </w:rPr>
        <w:t>Deze beheerders stellen “essentiële beleggersinformatie” op, een EBI. Beleggingsinstellingen die verplicht zijn een EBI op te stellen, moeten dit blijven doen tot en met 31 december 2022 (einde overgangsperiode; Art. 32(1) Verordening, zoals laatstelijk gewijzigd door Art. 1 van Verordening (EU) 2021/2259 van het Europees Parlement en de Raad van 15 december 2021 tot wijziging van Verordening (EU) nr. 1286/2014 wat betreft de verlenging van de overgangsregeling voor beheermaatschappijen, beleggingsmaatschappijen en personen die advies geven over rechten van deelneming in instellingen voor collectieve belegging in effecten (icbe’s) en niet-icbe’s of die verkopen).</w:t>
      </w:r>
    </w:p>
  </w:footnote>
  <w:footnote w:id="30">
    <w:p w:rsidR="00B702B1" w:rsidRPr="00520979" w:rsidP="00E625AB" w14:paraId="437878CE" w14:textId="66CEED81">
      <w:pPr>
        <w:pStyle w:val="FootnoteText"/>
        <w:jc w:val="both"/>
        <w:rPr>
          <w:sz w:val="16"/>
          <w:szCs w:val="16"/>
          <w:lang w:val="nl-NL"/>
        </w:rPr>
      </w:pPr>
      <w:r w:rsidRPr="005F4A57">
        <w:rPr>
          <w:rStyle w:val="FootnoteReference"/>
        </w:rPr>
        <w:footnoteRef/>
      </w:r>
      <w:r w:rsidRPr="005F4A57">
        <w:rPr>
          <w:lang w:val="nl-NL"/>
        </w:rPr>
        <w:t xml:space="preserve"> </w:t>
      </w:r>
      <w:r w:rsidRPr="00520979">
        <w:rPr>
          <w:sz w:val="16"/>
          <w:szCs w:val="16"/>
          <w:lang w:val="nl-NL"/>
        </w:rPr>
        <w:t>Zie de Veelgestelde vragen over PRIIPs van de AFM: “Is het toegestaan om vóór 31 december 2021 de Essentiële beleggersinformatie te vervangen voor het Essentiële-informatiedocument?”. “Nee. Beleggingsinstellingen die verplicht zijn een Essentiële beleggersinformatie (Ebi) op te stellen, moeten dit blijven doen tot en met 31 december 2022 (einde overgangsperiode). Vanaf 1 januari 2023 moeten deze beleggingsinstellingen een Essentiële-informatiedocument (Eid) opstellen. De PRIIPs-verordening bevat geen bepaling die het mogelijk maakt om voor het einde van de overgangsperiode het Ebi te vervangen voor het Eid.”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9A4C7A"/>
    <w:multiLevelType w:val="hybridMultilevel"/>
    <w:tmpl w:val="667652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42C0747B"/>
    <w:multiLevelType w:val="hybridMultilevel"/>
    <w:tmpl w:val="B6E27E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3E53517"/>
    <w:multiLevelType w:val="hybridMultilevel"/>
    <w:tmpl w:val="D940F8F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5A872F8E"/>
    <w:multiLevelType w:val="hybridMultilevel"/>
    <w:tmpl w:val="49DAC4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D8B5686"/>
    <w:multiLevelType w:val="hybridMultilevel"/>
    <w:tmpl w:val="CB88D34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0711DD0"/>
    <w:multiLevelType w:val="hybridMultilevel"/>
    <w:tmpl w:val="AC98D3E8"/>
    <w:lvl w:ilvl="0">
      <w:start w:val="10"/>
      <w:numFmt w:val="bullet"/>
      <w:lvlText w:val="-"/>
      <w:lvlJc w:val="left"/>
      <w:pPr>
        <w:ind w:left="405" w:hanging="360"/>
      </w:pPr>
      <w:rPr>
        <w:rFonts w:ascii="Calibri" w:hAnsi="Calibri" w:eastAsiaTheme="minorHAnsi" w:cstheme="minorBidi" w:hint="default"/>
      </w:rPr>
    </w:lvl>
    <w:lvl w:ilvl="1" w:tentative="1">
      <w:start w:val="1"/>
      <w:numFmt w:val="bullet"/>
      <w:lvlText w:val="o"/>
      <w:lvlJc w:val="left"/>
      <w:pPr>
        <w:ind w:left="1125" w:hanging="360"/>
      </w:pPr>
      <w:rPr>
        <w:rFonts w:ascii="Courier New" w:hAnsi="Courier New" w:cs="Courier New" w:hint="default"/>
      </w:rPr>
    </w:lvl>
    <w:lvl w:ilvl="2" w:tentative="1">
      <w:start w:val="1"/>
      <w:numFmt w:val="bullet"/>
      <w:lvlText w:val=""/>
      <w:lvlJc w:val="left"/>
      <w:pPr>
        <w:ind w:left="1845" w:hanging="360"/>
      </w:pPr>
      <w:rPr>
        <w:rFonts w:ascii="Wingdings" w:hAnsi="Wingdings" w:hint="default"/>
      </w:rPr>
    </w:lvl>
    <w:lvl w:ilvl="3" w:tentative="1">
      <w:start w:val="1"/>
      <w:numFmt w:val="bullet"/>
      <w:lvlText w:val=""/>
      <w:lvlJc w:val="left"/>
      <w:pPr>
        <w:ind w:left="2565" w:hanging="360"/>
      </w:pPr>
      <w:rPr>
        <w:rFonts w:ascii="Symbol" w:hAnsi="Symbol" w:hint="default"/>
      </w:rPr>
    </w:lvl>
    <w:lvl w:ilvl="4" w:tentative="1">
      <w:start w:val="1"/>
      <w:numFmt w:val="bullet"/>
      <w:lvlText w:val="o"/>
      <w:lvlJc w:val="left"/>
      <w:pPr>
        <w:ind w:left="3285" w:hanging="360"/>
      </w:pPr>
      <w:rPr>
        <w:rFonts w:ascii="Courier New" w:hAnsi="Courier New" w:cs="Courier New" w:hint="default"/>
      </w:rPr>
    </w:lvl>
    <w:lvl w:ilvl="5" w:tentative="1">
      <w:start w:val="1"/>
      <w:numFmt w:val="bullet"/>
      <w:lvlText w:val=""/>
      <w:lvlJc w:val="left"/>
      <w:pPr>
        <w:ind w:left="4005" w:hanging="360"/>
      </w:pPr>
      <w:rPr>
        <w:rFonts w:ascii="Wingdings" w:hAnsi="Wingdings" w:hint="default"/>
      </w:rPr>
    </w:lvl>
    <w:lvl w:ilvl="6" w:tentative="1">
      <w:start w:val="1"/>
      <w:numFmt w:val="bullet"/>
      <w:lvlText w:val=""/>
      <w:lvlJc w:val="left"/>
      <w:pPr>
        <w:ind w:left="4725" w:hanging="360"/>
      </w:pPr>
      <w:rPr>
        <w:rFonts w:ascii="Symbol" w:hAnsi="Symbol" w:hint="default"/>
      </w:rPr>
    </w:lvl>
    <w:lvl w:ilvl="7" w:tentative="1">
      <w:start w:val="1"/>
      <w:numFmt w:val="bullet"/>
      <w:lvlText w:val="o"/>
      <w:lvlJc w:val="left"/>
      <w:pPr>
        <w:ind w:left="5445" w:hanging="360"/>
      </w:pPr>
      <w:rPr>
        <w:rFonts w:ascii="Courier New" w:hAnsi="Courier New" w:cs="Courier New" w:hint="default"/>
      </w:rPr>
    </w:lvl>
    <w:lvl w:ilvl="8" w:tentative="1">
      <w:start w:val="1"/>
      <w:numFmt w:val="bullet"/>
      <w:lvlText w:val=""/>
      <w:lvlJc w:val="left"/>
      <w:pPr>
        <w:ind w:left="6165" w:hanging="360"/>
      </w:pPr>
      <w:rPr>
        <w:rFonts w:ascii="Wingdings" w:hAnsi="Wingdings" w:hint="default"/>
      </w:rPr>
    </w:lvl>
  </w:abstractNum>
  <w:abstractNum w:abstractNumId="6">
    <w:nsid w:val="78342D21"/>
    <w:multiLevelType w:val="hybridMultilevel"/>
    <w:tmpl w:val="18F49B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B67"/>
    <w:rsid w:val="00001DB4"/>
    <w:rsid w:val="000039B7"/>
    <w:rsid w:val="000067C4"/>
    <w:rsid w:val="00006BF3"/>
    <w:rsid w:val="000073D5"/>
    <w:rsid w:val="00012BD4"/>
    <w:rsid w:val="00013F29"/>
    <w:rsid w:val="00014DB0"/>
    <w:rsid w:val="000158DE"/>
    <w:rsid w:val="0001742C"/>
    <w:rsid w:val="00017CCF"/>
    <w:rsid w:val="00020A50"/>
    <w:rsid w:val="000222AE"/>
    <w:rsid w:val="00024A81"/>
    <w:rsid w:val="00024D7A"/>
    <w:rsid w:val="00026B9C"/>
    <w:rsid w:val="00027067"/>
    <w:rsid w:val="00040099"/>
    <w:rsid w:val="0004010C"/>
    <w:rsid w:val="000440E1"/>
    <w:rsid w:val="00044535"/>
    <w:rsid w:val="000446BA"/>
    <w:rsid w:val="00045A3D"/>
    <w:rsid w:val="00052477"/>
    <w:rsid w:val="00053989"/>
    <w:rsid w:val="000610A5"/>
    <w:rsid w:val="00065557"/>
    <w:rsid w:val="00067C29"/>
    <w:rsid w:val="00070F29"/>
    <w:rsid w:val="00071C1F"/>
    <w:rsid w:val="00074552"/>
    <w:rsid w:val="00077270"/>
    <w:rsid w:val="00083C28"/>
    <w:rsid w:val="0008561E"/>
    <w:rsid w:val="000923F7"/>
    <w:rsid w:val="0009268A"/>
    <w:rsid w:val="00096357"/>
    <w:rsid w:val="00097163"/>
    <w:rsid w:val="000A3666"/>
    <w:rsid w:val="000A3D40"/>
    <w:rsid w:val="000B6E8C"/>
    <w:rsid w:val="000C176B"/>
    <w:rsid w:val="000C19A8"/>
    <w:rsid w:val="000C2D97"/>
    <w:rsid w:val="000C5DBE"/>
    <w:rsid w:val="000C67E2"/>
    <w:rsid w:val="000D1A5B"/>
    <w:rsid w:val="000D5F6F"/>
    <w:rsid w:val="000E51F7"/>
    <w:rsid w:val="000F1ABE"/>
    <w:rsid w:val="000F450F"/>
    <w:rsid w:val="00106A75"/>
    <w:rsid w:val="00114249"/>
    <w:rsid w:val="0011441A"/>
    <w:rsid w:val="0011787A"/>
    <w:rsid w:val="00117FAD"/>
    <w:rsid w:val="00120CC5"/>
    <w:rsid w:val="00124E12"/>
    <w:rsid w:val="001313BC"/>
    <w:rsid w:val="001336BB"/>
    <w:rsid w:val="0013387E"/>
    <w:rsid w:val="00136979"/>
    <w:rsid w:val="00140D93"/>
    <w:rsid w:val="00140F6F"/>
    <w:rsid w:val="0014663B"/>
    <w:rsid w:val="0014741B"/>
    <w:rsid w:val="0015051F"/>
    <w:rsid w:val="00151443"/>
    <w:rsid w:val="00151BDE"/>
    <w:rsid w:val="00152433"/>
    <w:rsid w:val="001558EE"/>
    <w:rsid w:val="0016114F"/>
    <w:rsid w:val="00164D56"/>
    <w:rsid w:val="0016775B"/>
    <w:rsid w:val="00170EF6"/>
    <w:rsid w:val="00172C3D"/>
    <w:rsid w:val="00173763"/>
    <w:rsid w:val="00176669"/>
    <w:rsid w:val="00176C9B"/>
    <w:rsid w:val="0018479D"/>
    <w:rsid w:val="001850A0"/>
    <w:rsid w:val="00185B26"/>
    <w:rsid w:val="00196DD8"/>
    <w:rsid w:val="001A4E74"/>
    <w:rsid w:val="001A789F"/>
    <w:rsid w:val="001B0BFD"/>
    <w:rsid w:val="001B0DE8"/>
    <w:rsid w:val="001B548F"/>
    <w:rsid w:val="001B54D3"/>
    <w:rsid w:val="001B5B6A"/>
    <w:rsid w:val="001B7709"/>
    <w:rsid w:val="001C09C1"/>
    <w:rsid w:val="001C0FD2"/>
    <w:rsid w:val="001C39B1"/>
    <w:rsid w:val="001C7D43"/>
    <w:rsid w:val="001D02FE"/>
    <w:rsid w:val="001D15C0"/>
    <w:rsid w:val="001D301C"/>
    <w:rsid w:val="001D34D1"/>
    <w:rsid w:val="001D4272"/>
    <w:rsid w:val="001D48FE"/>
    <w:rsid w:val="001D7017"/>
    <w:rsid w:val="001D7176"/>
    <w:rsid w:val="001D71E6"/>
    <w:rsid w:val="001E60BE"/>
    <w:rsid w:val="001F0B62"/>
    <w:rsid w:val="001F4C76"/>
    <w:rsid w:val="00200953"/>
    <w:rsid w:val="00201990"/>
    <w:rsid w:val="002028AB"/>
    <w:rsid w:val="00202F50"/>
    <w:rsid w:val="00203F70"/>
    <w:rsid w:val="0020489F"/>
    <w:rsid w:val="00212C1E"/>
    <w:rsid w:val="002142C5"/>
    <w:rsid w:val="00214474"/>
    <w:rsid w:val="002226FE"/>
    <w:rsid w:val="0023274C"/>
    <w:rsid w:val="0024431A"/>
    <w:rsid w:val="00245071"/>
    <w:rsid w:val="00252372"/>
    <w:rsid w:val="0026241C"/>
    <w:rsid w:val="00270B7A"/>
    <w:rsid w:val="002731D7"/>
    <w:rsid w:val="002741B3"/>
    <w:rsid w:val="00275445"/>
    <w:rsid w:val="00275C82"/>
    <w:rsid w:val="0027629C"/>
    <w:rsid w:val="00276C84"/>
    <w:rsid w:val="002775B6"/>
    <w:rsid w:val="0028041C"/>
    <w:rsid w:val="00284CCB"/>
    <w:rsid w:val="002852F1"/>
    <w:rsid w:val="00287594"/>
    <w:rsid w:val="00290C5D"/>
    <w:rsid w:val="002966AA"/>
    <w:rsid w:val="002B1545"/>
    <w:rsid w:val="002B5AB9"/>
    <w:rsid w:val="002B73F3"/>
    <w:rsid w:val="002C24F3"/>
    <w:rsid w:val="002D0965"/>
    <w:rsid w:val="002D7C84"/>
    <w:rsid w:val="002E09E6"/>
    <w:rsid w:val="002E12C6"/>
    <w:rsid w:val="002E39C1"/>
    <w:rsid w:val="002E4E8F"/>
    <w:rsid w:val="002F0542"/>
    <w:rsid w:val="002F0710"/>
    <w:rsid w:val="002F293C"/>
    <w:rsid w:val="002F4FC1"/>
    <w:rsid w:val="002F7A1F"/>
    <w:rsid w:val="003043D9"/>
    <w:rsid w:val="003132F2"/>
    <w:rsid w:val="003226D9"/>
    <w:rsid w:val="0032540B"/>
    <w:rsid w:val="00325ECB"/>
    <w:rsid w:val="003318E9"/>
    <w:rsid w:val="00331CBB"/>
    <w:rsid w:val="00334561"/>
    <w:rsid w:val="003370C6"/>
    <w:rsid w:val="00340DAF"/>
    <w:rsid w:val="00346D15"/>
    <w:rsid w:val="00350998"/>
    <w:rsid w:val="003579A6"/>
    <w:rsid w:val="003613C4"/>
    <w:rsid w:val="003638BA"/>
    <w:rsid w:val="003650AA"/>
    <w:rsid w:val="00365CFA"/>
    <w:rsid w:val="0036677E"/>
    <w:rsid w:val="00366FA0"/>
    <w:rsid w:val="003705AE"/>
    <w:rsid w:val="0037449F"/>
    <w:rsid w:val="00377B00"/>
    <w:rsid w:val="00384657"/>
    <w:rsid w:val="0039094A"/>
    <w:rsid w:val="003909E5"/>
    <w:rsid w:val="00391ADB"/>
    <w:rsid w:val="003A22C6"/>
    <w:rsid w:val="003A2DAF"/>
    <w:rsid w:val="003A7C21"/>
    <w:rsid w:val="003B1449"/>
    <w:rsid w:val="003B4E68"/>
    <w:rsid w:val="003B5F84"/>
    <w:rsid w:val="003C05E3"/>
    <w:rsid w:val="003C177E"/>
    <w:rsid w:val="003C544D"/>
    <w:rsid w:val="003D10C2"/>
    <w:rsid w:val="003E07FA"/>
    <w:rsid w:val="003E0CC6"/>
    <w:rsid w:val="003E2D73"/>
    <w:rsid w:val="003E4967"/>
    <w:rsid w:val="003E5DF4"/>
    <w:rsid w:val="003F304E"/>
    <w:rsid w:val="003F32C0"/>
    <w:rsid w:val="003F375C"/>
    <w:rsid w:val="003F7F04"/>
    <w:rsid w:val="00407A8C"/>
    <w:rsid w:val="00411503"/>
    <w:rsid w:val="00411D92"/>
    <w:rsid w:val="00412A47"/>
    <w:rsid w:val="004132D9"/>
    <w:rsid w:val="004142DE"/>
    <w:rsid w:val="004168FC"/>
    <w:rsid w:val="0042028C"/>
    <w:rsid w:val="00420656"/>
    <w:rsid w:val="004225B1"/>
    <w:rsid w:val="00425C6F"/>
    <w:rsid w:val="00426AA5"/>
    <w:rsid w:val="00427785"/>
    <w:rsid w:val="00431498"/>
    <w:rsid w:val="0045037C"/>
    <w:rsid w:val="0045374E"/>
    <w:rsid w:val="004573C8"/>
    <w:rsid w:val="00463736"/>
    <w:rsid w:val="00467B98"/>
    <w:rsid w:val="00472607"/>
    <w:rsid w:val="00474961"/>
    <w:rsid w:val="0047507F"/>
    <w:rsid w:val="00476E2E"/>
    <w:rsid w:val="00477E8A"/>
    <w:rsid w:val="004806A9"/>
    <w:rsid w:val="00483103"/>
    <w:rsid w:val="004929CC"/>
    <w:rsid w:val="00493C72"/>
    <w:rsid w:val="00493F00"/>
    <w:rsid w:val="00494F46"/>
    <w:rsid w:val="00494FF3"/>
    <w:rsid w:val="00496A04"/>
    <w:rsid w:val="00496AD9"/>
    <w:rsid w:val="004A382F"/>
    <w:rsid w:val="004A78F2"/>
    <w:rsid w:val="004B5F00"/>
    <w:rsid w:val="004B6B32"/>
    <w:rsid w:val="004C7FC0"/>
    <w:rsid w:val="004D22B2"/>
    <w:rsid w:val="004D73C7"/>
    <w:rsid w:val="004E19AC"/>
    <w:rsid w:val="004E327E"/>
    <w:rsid w:val="004E78B8"/>
    <w:rsid w:val="004F3952"/>
    <w:rsid w:val="004F5749"/>
    <w:rsid w:val="004F594A"/>
    <w:rsid w:val="004F7B58"/>
    <w:rsid w:val="005001B2"/>
    <w:rsid w:val="0050302C"/>
    <w:rsid w:val="00503A02"/>
    <w:rsid w:val="00505C2C"/>
    <w:rsid w:val="00505ECB"/>
    <w:rsid w:val="0050676B"/>
    <w:rsid w:val="00506F97"/>
    <w:rsid w:val="00507696"/>
    <w:rsid w:val="00513C95"/>
    <w:rsid w:val="00516334"/>
    <w:rsid w:val="00516C09"/>
    <w:rsid w:val="00520979"/>
    <w:rsid w:val="00521753"/>
    <w:rsid w:val="00531CD3"/>
    <w:rsid w:val="00533DB7"/>
    <w:rsid w:val="005439CC"/>
    <w:rsid w:val="00543AA7"/>
    <w:rsid w:val="00546505"/>
    <w:rsid w:val="005503A0"/>
    <w:rsid w:val="005524F6"/>
    <w:rsid w:val="00552CFA"/>
    <w:rsid w:val="00552DA1"/>
    <w:rsid w:val="00557E1E"/>
    <w:rsid w:val="00560D68"/>
    <w:rsid w:val="0056144F"/>
    <w:rsid w:val="00562023"/>
    <w:rsid w:val="0056342D"/>
    <w:rsid w:val="00564B9A"/>
    <w:rsid w:val="005653AE"/>
    <w:rsid w:val="00565589"/>
    <w:rsid w:val="005657C4"/>
    <w:rsid w:val="0056787B"/>
    <w:rsid w:val="00571DFA"/>
    <w:rsid w:val="00593BB4"/>
    <w:rsid w:val="00594716"/>
    <w:rsid w:val="00594991"/>
    <w:rsid w:val="00594F0E"/>
    <w:rsid w:val="00595C60"/>
    <w:rsid w:val="005979DD"/>
    <w:rsid w:val="005A0E30"/>
    <w:rsid w:val="005A296F"/>
    <w:rsid w:val="005A6994"/>
    <w:rsid w:val="005B4B2F"/>
    <w:rsid w:val="005B634B"/>
    <w:rsid w:val="005B7DAB"/>
    <w:rsid w:val="005C52E3"/>
    <w:rsid w:val="005D0960"/>
    <w:rsid w:val="005D15E7"/>
    <w:rsid w:val="005D3267"/>
    <w:rsid w:val="005D40ED"/>
    <w:rsid w:val="005D684B"/>
    <w:rsid w:val="005D7201"/>
    <w:rsid w:val="005D736A"/>
    <w:rsid w:val="005D7494"/>
    <w:rsid w:val="005E0EF7"/>
    <w:rsid w:val="005E22BF"/>
    <w:rsid w:val="005E5E04"/>
    <w:rsid w:val="005E68CD"/>
    <w:rsid w:val="005E6DC7"/>
    <w:rsid w:val="005F0765"/>
    <w:rsid w:val="005F099F"/>
    <w:rsid w:val="005F1522"/>
    <w:rsid w:val="005F3412"/>
    <w:rsid w:val="005F4A57"/>
    <w:rsid w:val="005F6A98"/>
    <w:rsid w:val="00600BE0"/>
    <w:rsid w:val="006018DF"/>
    <w:rsid w:val="00602411"/>
    <w:rsid w:val="00607F6C"/>
    <w:rsid w:val="006120BB"/>
    <w:rsid w:val="00612437"/>
    <w:rsid w:val="0061336A"/>
    <w:rsid w:val="00613EBB"/>
    <w:rsid w:val="006156B7"/>
    <w:rsid w:val="00625836"/>
    <w:rsid w:val="0062600D"/>
    <w:rsid w:val="00630925"/>
    <w:rsid w:val="00632189"/>
    <w:rsid w:val="00635C06"/>
    <w:rsid w:val="00635D65"/>
    <w:rsid w:val="00640063"/>
    <w:rsid w:val="00641873"/>
    <w:rsid w:val="00651441"/>
    <w:rsid w:val="00651798"/>
    <w:rsid w:val="00654801"/>
    <w:rsid w:val="00655F8E"/>
    <w:rsid w:val="006630C9"/>
    <w:rsid w:val="006631B8"/>
    <w:rsid w:val="006662C2"/>
    <w:rsid w:val="00675423"/>
    <w:rsid w:val="00676A9E"/>
    <w:rsid w:val="00676EFB"/>
    <w:rsid w:val="00677A11"/>
    <w:rsid w:val="0068295D"/>
    <w:rsid w:val="00691A34"/>
    <w:rsid w:val="0069250B"/>
    <w:rsid w:val="00692B69"/>
    <w:rsid w:val="00693A30"/>
    <w:rsid w:val="006944AF"/>
    <w:rsid w:val="006A1F6A"/>
    <w:rsid w:val="006A4FCB"/>
    <w:rsid w:val="006A613E"/>
    <w:rsid w:val="006B523D"/>
    <w:rsid w:val="006C2CCB"/>
    <w:rsid w:val="006C45D4"/>
    <w:rsid w:val="006C6952"/>
    <w:rsid w:val="006D0822"/>
    <w:rsid w:val="006D2926"/>
    <w:rsid w:val="006E11F7"/>
    <w:rsid w:val="006E40AC"/>
    <w:rsid w:val="006E6572"/>
    <w:rsid w:val="006F1444"/>
    <w:rsid w:val="006F4B28"/>
    <w:rsid w:val="006F5530"/>
    <w:rsid w:val="006F76D2"/>
    <w:rsid w:val="00702C8F"/>
    <w:rsid w:val="00704A97"/>
    <w:rsid w:val="00705538"/>
    <w:rsid w:val="0070556F"/>
    <w:rsid w:val="00705715"/>
    <w:rsid w:val="0070683E"/>
    <w:rsid w:val="00706EB0"/>
    <w:rsid w:val="0071448F"/>
    <w:rsid w:val="0071481D"/>
    <w:rsid w:val="00722A07"/>
    <w:rsid w:val="00723F01"/>
    <w:rsid w:val="00732768"/>
    <w:rsid w:val="007353D5"/>
    <w:rsid w:val="0074031B"/>
    <w:rsid w:val="00741883"/>
    <w:rsid w:val="0074308E"/>
    <w:rsid w:val="007452F2"/>
    <w:rsid w:val="007466FD"/>
    <w:rsid w:val="00750BF3"/>
    <w:rsid w:val="00753EA4"/>
    <w:rsid w:val="00757967"/>
    <w:rsid w:val="00767902"/>
    <w:rsid w:val="00767E4B"/>
    <w:rsid w:val="00771133"/>
    <w:rsid w:val="00772040"/>
    <w:rsid w:val="00773BEF"/>
    <w:rsid w:val="007817E2"/>
    <w:rsid w:val="00784550"/>
    <w:rsid w:val="00784E0A"/>
    <w:rsid w:val="00787BD9"/>
    <w:rsid w:val="00790117"/>
    <w:rsid w:val="007901DC"/>
    <w:rsid w:val="00791549"/>
    <w:rsid w:val="00794F01"/>
    <w:rsid w:val="00795F0A"/>
    <w:rsid w:val="007A173F"/>
    <w:rsid w:val="007A5A25"/>
    <w:rsid w:val="007B328D"/>
    <w:rsid w:val="007B4BE3"/>
    <w:rsid w:val="007C1E63"/>
    <w:rsid w:val="007C2858"/>
    <w:rsid w:val="007C3EFB"/>
    <w:rsid w:val="007D38F5"/>
    <w:rsid w:val="007D43E3"/>
    <w:rsid w:val="007D55FB"/>
    <w:rsid w:val="007E3E30"/>
    <w:rsid w:val="007E5760"/>
    <w:rsid w:val="007F421F"/>
    <w:rsid w:val="007F6559"/>
    <w:rsid w:val="00802ABF"/>
    <w:rsid w:val="008034A0"/>
    <w:rsid w:val="00804CC9"/>
    <w:rsid w:val="00810115"/>
    <w:rsid w:val="00812A69"/>
    <w:rsid w:val="00822349"/>
    <w:rsid w:val="008223DC"/>
    <w:rsid w:val="008255B6"/>
    <w:rsid w:val="0083210C"/>
    <w:rsid w:val="00835437"/>
    <w:rsid w:val="0083607D"/>
    <w:rsid w:val="0083644B"/>
    <w:rsid w:val="00840BEA"/>
    <w:rsid w:val="00846688"/>
    <w:rsid w:val="00850132"/>
    <w:rsid w:val="008503C6"/>
    <w:rsid w:val="008509F1"/>
    <w:rsid w:val="008514CD"/>
    <w:rsid w:val="00854E61"/>
    <w:rsid w:val="0086103F"/>
    <w:rsid w:val="00863A3C"/>
    <w:rsid w:val="00866891"/>
    <w:rsid w:val="00870B27"/>
    <w:rsid w:val="00875F9B"/>
    <w:rsid w:val="008767BD"/>
    <w:rsid w:val="00883B3B"/>
    <w:rsid w:val="00884AC0"/>
    <w:rsid w:val="008923C5"/>
    <w:rsid w:val="00892A83"/>
    <w:rsid w:val="00892F69"/>
    <w:rsid w:val="0089418E"/>
    <w:rsid w:val="008958DA"/>
    <w:rsid w:val="00896B3A"/>
    <w:rsid w:val="00897126"/>
    <w:rsid w:val="008A2857"/>
    <w:rsid w:val="008A4D67"/>
    <w:rsid w:val="008A635E"/>
    <w:rsid w:val="008B0BAF"/>
    <w:rsid w:val="008B181A"/>
    <w:rsid w:val="008B28EA"/>
    <w:rsid w:val="008B4DC9"/>
    <w:rsid w:val="008B64F1"/>
    <w:rsid w:val="008C1174"/>
    <w:rsid w:val="008C3017"/>
    <w:rsid w:val="008C5D55"/>
    <w:rsid w:val="008C73B3"/>
    <w:rsid w:val="008D061E"/>
    <w:rsid w:val="008D26B1"/>
    <w:rsid w:val="008D2AA9"/>
    <w:rsid w:val="008D2D5E"/>
    <w:rsid w:val="008E2380"/>
    <w:rsid w:val="008E5BD4"/>
    <w:rsid w:val="008E7534"/>
    <w:rsid w:val="008F479B"/>
    <w:rsid w:val="008F5863"/>
    <w:rsid w:val="008F5B3A"/>
    <w:rsid w:val="00904F2F"/>
    <w:rsid w:val="00906C98"/>
    <w:rsid w:val="00912624"/>
    <w:rsid w:val="00913E7C"/>
    <w:rsid w:val="009150A4"/>
    <w:rsid w:val="00917DEE"/>
    <w:rsid w:val="00921C0A"/>
    <w:rsid w:val="00922AFE"/>
    <w:rsid w:val="0092750C"/>
    <w:rsid w:val="00932039"/>
    <w:rsid w:val="009327E3"/>
    <w:rsid w:val="009333A3"/>
    <w:rsid w:val="00934AB2"/>
    <w:rsid w:val="00943E19"/>
    <w:rsid w:val="00947796"/>
    <w:rsid w:val="00950752"/>
    <w:rsid w:val="00953F52"/>
    <w:rsid w:val="009542F3"/>
    <w:rsid w:val="009567D5"/>
    <w:rsid w:val="00957D31"/>
    <w:rsid w:val="0096263F"/>
    <w:rsid w:val="00963110"/>
    <w:rsid w:val="00963E78"/>
    <w:rsid w:val="00964A9F"/>
    <w:rsid w:val="00971ACF"/>
    <w:rsid w:val="0098000E"/>
    <w:rsid w:val="00980D45"/>
    <w:rsid w:val="009841DB"/>
    <w:rsid w:val="00991171"/>
    <w:rsid w:val="0099387B"/>
    <w:rsid w:val="00997209"/>
    <w:rsid w:val="009A0006"/>
    <w:rsid w:val="009A01ED"/>
    <w:rsid w:val="009A79E6"/>
    <w:rsid w:val="009B13E5"/>
    <w:rsid w:val="009B1DEB"/>
    <w:rsid w:val="009B37A0"/>
    <w:rsid w:val="009B5417"/>
    <w:rsid w:val="009C1102"/>
    <w:rsid w:val="009C113E"/>
    <w:rsid w:val="009C455C"/>
    <w:rsid w:val="009C6623"/>
    <w:rsid w:val="009C767F"/>
    <w:rsid w:val="009D07B3"/>
    <w:rsid w:val="009D4C2D"/>
    <w:rsid w:val="009D5E0D"/>
    <w:rsid w:val="009E0727"/>
    <w:rsid w:val="009E2EE1"/>
    <w:rsid w:val="009F228F"/>
    <w:rsid w:val="00A00150"/>
    <w:rsid w:val="00A00E38"/>
    <w:rsid w:val="00A04C4A"/>
    <w:rsid w:val="00A10F3C"/>
    <w:rsid w:val="00A223B5"/>
    <w:rsid w:val="00A25C53"/>
    <w:rsid w:val="00A25C5C"/>
    <w:rsid w:val="00A26AD8"/>
    <w:rsid w:val="00A27B0F"/>
    <w:rsid w:val="00A30CFD"/>
    <w:rsid w:val="00A33B0F"/>
    <w:rsid w:val="00A33B2C"/>
    <w:rsid w:val="00A341DA"/>
    <w:rsid w:val="00A347C3"/>
    <w:rsid w:val="00A403C1"/>
    <w:rsid w:val="00A50A4A"/>
    <w:rsid w:val="00A62C1E"/>
    <w:rsid w:val="00A64580"/>
    <w:rsid w:val="00A65321"/>
    <w:rsid w:val="00A65636"/>
    <w:rsid w:val="00A73789"/>
    <w:rsid w:val="00A746B4"/>
    <w:rsid w:val="00A816E1"/>
    <w:rsid w:val="00A81F7D"/>
    <w:rsid w:val="00A955A6"/>
    <w:rsid w:val="00AA59CA"/>
    <w:rsid w:val="00AA7259"/>
    <w:rsid w:val="00AB05CB"/>
    <w:rsid w:val="00AB18D5"/>
    <w:rsid w:val="00AB29D3"/>
    <w:rsid w:val="00AB2B61"/>
    <w:rsid w:val="00AB317E"/>
    <w:rsid w:val="00AB6EA7"/>
    <w:rsid w:val="00AC455A"/>
    <w:rsid w:val="00AC4DA3"/>
    <w:rsid w:val="00AC57A3"/>
    <w:rsid w:val="00AD0391"/>
    <w:rsid w:val="00AD30C3"/>
    <w:rsid w:val="00AD7F8E"/>
    <w:rsid w:val="00AE121D"/>
    <w:rsid w:val="00AE396D"/>
    <w:rsid w:val="00AE3EC6"/>
    <w:rsid w:val="00AE6922"/>
    <w:rsid w:val="00AF04BC"/>
    <w:rsid w:val="00AF0ED4"/>
    <w:rsid w:val="00AF280C"/>
    <w:rsid w:val="00AF395B"/>
    <w:rsid w:val="00AF3E56"/>
    <w:rsid w:val="00AF5AFB"/>
    <w:rsid w:val="00AF6932"/>
    <w:rsid w:val="00B03591"/>
    <w:rsid w:val="00B0397A"/>
    <w:rsid w:val="00B059FC"/>
    <w:rsid w:val="00B05B9F"/>
    <w:rsid w:val="00B07B40"/>
    <w:rsid w:val="00B125C0"/>
    <w:rsid w:val="00B13DC4"/>
    <w:rsid w:val="00B14A26"/>
    <w:rsid w:val="00B17583"/>
    <w:rsid w:val="00B20EA9"/>
    <w:rsid w:val="00B22562"/>
    <w:rsid w:val="00B23A2E"/>
    <w:rsid w:val="00B25B06"/>
    <w:rsid w:val="00B264A7"/>
    <w:rsid w:val="00B302D0"/>
    <w:rsid w:val="00B31B5D"/>
    <w:rsid w:val="00B40241"/>
    <w:rsid w:val="00B41712"/>
    <w:rsid w:val="00B41C0C"/>
    <w:rsid w:val="00B424C5"/>
    <w:rsid w:val="00B44682"/>
    <w:rsid w:val="00B45662"/>
    <w:rsid w:val="00B54A7A"/>
    <w:rsid w:val="00B558A8"/>
    <w:rsid w:val="00B55B37"/>
    <w:rsid w:val="00B611AE"/>
    <w:rsid w:val="00B65137"/>
    <w:rsid w:val="00B702B1"/>
    <w:rsid w:val="00B70E09"/>
    <w:rsid w:val="00B71D2F"/>
    <w:rsid w:val="00B72242"/>
    <w:rsid w:val="00B722E3"/>
    <w:rsid w:val="00B73F94"/>
    <w:rsid w:val="00B7672C"/>
    <w:rsid w:val="00B76DDE"/>
    <w:rsid w:val="00B83BA9"/>
    <w:rsid w:val="00B92827"/>
    <w:rsid w:val="00B94709"/>
    <w:rsid w:val="00B968E4"/>
    <w:rsid w:val="00B97A4F"/>
    <w:rsid w:val="00BA0C7C"/>
    <w:rsid w:val="00BB4C13"/>
    <w:rsid w:val="00BB5350"/>
    <w:rsid w:val="00BB7EB1"/>
    <w:rsid w:val="00BC25BA"/>
    <w:rsid w:val="00BC3287"/>
    <w:rsid w:val="00BC4D96"/>
    <w:rsid w:val="00BD0EBA"/>
    <w:rsid w:val="00BD454A"/>
    <w:rsid w:val="00BE1D09"/>
    <w:rsid w:val="00BE280B"/>
    <w:rsid w:val="00BE3399"/>
    <w:rsid w:val="00BE4FF8"/>
    <w:rsid w:val="00BE5235"/>
    <w:rsid w:val="00BE67BF"/>
    <w:rsid w:val="00BE6DFA"/>
    <w:rsid w:val="00BF4A04"/>
    <w:rsid w:val="00BF60B8"/>
    <w:rsid w:val="00C008E1"/>
    <w:rsid w:val="00C01AB7"/>
    <w:rsid w:val="00C02890"/>
    <w:rsid w:val="00C05DAC"/>
    <w:rsid w:val="00C12CE6"/>
    <w:rsid w:val="00C226FB"/>
    <w:rsid w:val="00C22BB2"/>
    <w:rsid w:val="00C25AC5"/>
    <w:rsid w:val="00C312E3"/>
    <w:rsid w:val="00C336BD"/>
    <w:rsid w:val="00C35404"/>
    <w:rsid w:val="00C378B4"/>
    <w:rsid w:val="00C37DAD"/>
    <w:rsid w:val="00C44C82"/>
    <w:rsid w:val="00C52385"/>
    <w:rsid w:val="00C55AAC"/>
    <w:rsid w:val="00C60375"/>
    <w:rsid w:val="00C603C6"/>
    <w:rsid w:val="00C61562"/>
    <w:rsid w:val="00C6571B"/>
    <w:rsid w:val="00C70C8F"/>
    <w:rsid w:val="00C746D0"/>
    <w:rsid w:val="00C80207"/>
    <w:rsid w:val="00C8295D"/>
    <w:rsid w:val="00C87923"/>
    <w:rsid w:val="00C87D0B"/>
    <w:rsid w:val="00C9178B"/>
    <w:rsid w:val="00C921A6"/>
    <w:rsid w:val="00C93540"/>
    <w:rsid w:val="00C936F5"/>
    <w:rsid w:val="00C976E7"/>
    <w:rsid w:val="00CA0EF9"/>
    <w:rsid w:val="00CA3CA2"/>
    <w:rsid w:val="00CA582C"/>
    <w:rsid w:val="00CA6E40"/>
    <w:rsid w:val="00CB0812"/>
    <w:rsid w:val="00CB2D60"/>
    <w:rsid w:val="00CB5146"/>
    <w:rsid w:val="00CB7F52"/>
    <w:rsid w:val="00CC26B5"/>
    <w:rsid w:val="00CC433C"/>
    <w:rsid w:val="00CC5537"/>
    <w:rsid w:val="00CD1C52"/>
    <w:rsid w:val="00CD3700"/>
    <w:rsid w:val="00CD3B45"/>
    <w:rsid w:val="00CD4CDF"/>
    <w:rsid w:val="00CD6836"/>
    <w:rsid w:val="00CE0C84"/>
    <w:rsid w:val="00CE4D9F"/>
    <w:rsid w:val="00CE4E33"/>
    <w:rsid w:val="00CF0CDF"/>
    <w:rsid w:val="00CF381D"/>
    <w:rsid w:val="00D06181"/>
    <w:rsid w:val="00D0778B"/>
    <w:rsid w:val="00D07B2B"/>
    <w:rsid w:val="00D10523"/>
    <w:rsid w:val="00D10E01"/>
    <w:rsid w:val="00D12837"/>
    <w:rsid w:val="00D1440E"/>
    <w:rsid w:val="00D145F1"/>
    <w:rsid w:val="00D17322"/>
    <w:rsid w:val="00D17D89"/>
    <w:rsid w:val="00D21307"/>
    <w:rsid w:val="00D2286E"/>
    <w:rsid w:val="00D27364"/>
    <w:rsid w:val="00D278B8"/>
    <w:rsid w:val="00D327DB"/>
    <w:rsid w:val="00D337F5"/>
    <w:rsid w:val="00D33D04"/>
    <w:rsid w:val="00D424B2"/>
    <w:rsid w:val="00D44841"/>
    <w:rsid w:val="00D4579F"/>
    <w:rsid w:val="00D46D64"/>
    <w:rsid w:val="00D552FA"/>
    <w:rsid w:val="00D57467"/>
    <w:rsid w:val="00D60E8F"/>
    <w:rsid w:val="00D62E1D"/>
    <w:rsid w:val="00D64A4E"/>
    <w:rsid w:val="00D70D75"/>
    <w:rsid w:val="00D73591"/>
    <w:rsid w:val="00D74197"/>
    <w:rsid w:val="00D80EC5"/>
    <w:rsid w:val="00D84887"/>
    <w:rsid w:val="00D86C83"/>
    <w:rsid w:val="00D90B77"/>
    <w:rsid w:val="00D91F8A"/>
    <w:rsid w:val="00D9507A"/>
    <w:rsid w:val="00D97FD2"/>
    <w:rsid w:val="00DA0D96"/>
    <w:rsid w:val="00DA753A"/>
    <w:rsid w:val="00DB03A7"/>
    <w:rsid w:val="00DB35B0"/>
    <w:rsid w:val="00DB4481"/>
    <w:rsid w:val="00DB4F81"/>
    <w:rsid w:val="00DB6CB4"/>
    <w:rsid w:val="00DB7599"/>
    <w:rsid w:val="00DB7ECA"/>
    <w:rsid w:val="00DC1777"/>
    <w:rsid w:val="00DC202B"/>
    <w:rsid w:val="00DC7D29"/>
    <w:rsid w:val="00DD47D7"/>
    <w:rsid w:val="00DE232E"/>
    <w:rsid w:val="00DE249B"/>
    <w:rsid w:val="00DE27CB"/>
    <w:rsid w:val="00DF08D5"/>
    <w:rsid w:val="00DF0B52"/>
    <w:rsid w:val="00DF3E57"/>
    <w:rsid w:val="00DF4159"/>
    <w:rsid w:val="00DF4980"/>
    <w:rsid w:val="00DF506A"/>
    <w:rsid w:val="00DF6000"/>
    <w:rsid w:val="00E05BA7"/>
    <w:rsid w:val="00E06BDD"/>
    <w:rsid w:val="00E07513"/>
    <w:rsid w:val="00E10738"/>
    <w:rsid w:val="00E12E8F"/>
    <w:rsid w:val="00E13995"/>
    <w:rsid w:val="00E20268"/>
    <w:rsid w:val="00E213A4"/>
    <w:rsid w:val="00E2198E"/>
    <w:rsid w:val="00E2248B"/>
    <w:rsid w:val="00E25D60"/>
    <w:rsid w:val="00E261AB"/>
    <w:rsid w:val="00E26FBF"/>
    <w:rsid w:val="00E277E9"/>
    <w:rsid w:val="00E312A4"/>
    <w:rsid w:val="00E32EE0"/>
    <w:rsid w:val="00E35508"/>
    <w:rsid w:val="00E37285"/>
    <w:rsid w:val="00E4128D"/>
    <w:rsid w:val="00E448F2"/>
    <w:rsid w:val="00E46010"/>
    <w:rsid w:val="00E47CC9"/>
    <w:rsid w:val="00E5008A"/>
    <w:rsid w:val="00E52030"/>
    <w:rsid w:val="00E533E9"/>
    <w:rsid w:val="00E543E9"/>
    <w:rsid w:val="00E545ED"/>
    <w:rsid w:val="00E552C4"/>
    <w:rsid w:val="00E57C11"/>
    <w:rsid w:val="00E609AA"/>
    <w:rsid w:val="00E60DD4"/>
    <w:rsid w:val="00E625AB"/>
    <w:rsid w:val="00E63745"/>
    <w:rsid w:val="00E6533C"/>
    <w:rsid w:val="00E65654"/>
    <w:rsid w:val="00E71061"/>
    <w:rsid w:val="00E7265C"/>
    <w:rsid w:val="00E72667"/>
    <w:rsid w:val="00E80FBF"/>
    <w:rsid w:val="00E83756"/>
    <w:rsid w:val="00E86180"/>
    <w:rsid w:val="00E8721A"/>
    <w:rsid w:val="00E87231"/>
    <w:rsid w:val="00E933F2"/>
    <w:rsid w:val="00E94973"/>
    <w:rsid w:val="00E94EA0"/>
    <w:rsid w:val="00E97C6D"/>
    <w:rsid w:val="00EA086D"/>
    <w:rsid w:val="00EB12E2"/>
    <w:rsid w:val="00EB76FA"/>
    <w:rsid w:val="00EB7ED7"/>
    <w:rsid w:val="00EC290E"/>
    <w:rsid w:val="00EC511E"/>
    <w:rsid w:val="00ED1475"/>
    <w:rsid w:val="00ED149D"/>
    <w:rsid w:val="00ED1763"/>
    <w:rsid w:val="00ED4890"/>
    <w:rsid w:val="00ED6042"/>
    <w:rsid w:val="00ED68E0"/>
    <w:rsid w:val="00EE0430"/>
    <w:rsid w:val="00EE3C5B"/>
    <w:rsid w:val="00EF0320"/>
    <w:rsid w:val="00EF45C5"/>
    <w:rsid w:val="00EF76D7"/>
    <w:rsid w:val="00F0092E"/>
    <w:rsid w:val="00F0361B"/>
    <w:rsid w:val="00F03B67"/>
    <w:rsid w:val="00F04CBE"/>
    <w:rsid w:val="00F06A3B"/>
    <w:rsid w:val="00F104CE"/>
    <w:rsid w:val="00F14A19"/>
    <w:rsid w:val="00F175FB"/>
    <w:rsid w:val="00F179E4"/>
    <w:rsid w:val="00F20C01"/>
    <w:rsid w:val="00F21A03"/>
    <w:rsid w:val="00F23AE3"/>
    <w:rsid w:val="00F25047"/>
    <w:rsid w:val="00F268F0"/>
    <w:rsid w:val="00F326B9"/>
    <w:rsid w:val="00F32D0D"/>
    <w:rsid w:val="00F343CC"/>
    <w:rsid w:val="00F34B22"/>
    <w:rsid w:val="00F34DBA"/>
    <w:rsid w:val="00F46C22"/>
    <w:rsid w:val="00F47634"/>
    <w:rsid w:val="00F50970"/>
    <w:rsid w:val="00F5142B"/>
    <w:rsid w:val="00F541A1"/>
    <w:rsid w:val="00F548F7"/>
    <w:rsid w:val="00F56417"/>
    <w:rsid w:val="00F57DB7"/>
    <w:rsid w:val="00F6431A"/>
    <w:rsid w:val="00F65488"/>
    <w:rsid w:val="00F66BE7"/>
    <w:rsid w:val="00F66C52"/>
    <w:rsid w:val="00F76515"/>
    <w:rsid w:val="00F81CB1"/>
    <w:rsid w:val="00F8344D"/>
    <w:rsid w:val="00F85F2F"/>
    <w:rsid w:val="00F861B6"/>
    <w:rsid w:val="00F86B80"/>
    <w:rsid w:val="00F8743E"/>
    <w:rsid w:val="00F94137"/>
    <w:rsid w:val="00F94B06"/>
    <w:rsid w:val="00FA059B"/>
    <w:rsid w:val="00FA17ED"/>
    <w:rsid w:val="00FA2933"/>
    <w:rsid w:val="00FA30D3"/>
    <w:rsid w:val="00FA6ACB"/>
    <w:rsid w:val="00FA76A7"/>
    <w:rsid w:val="00FA7748"/>
    <w:rsid w:val="00FC41F6"/>
    <w:rsid w:val="00FC43DF"/>
    <w:rsid w:val="00FC6B9A"/>
    <w:rsid w:val="00FD196D"/>
    <w:rsid w:val="00FD361F"/>
    <w:rsid w:val="00FD43BF"/>
    <w:rsid w:val="00FD4FEF"/>
    <w:rsid w:val="00FD6751"/>
    <w:rsid w:val="00FD677C"/>
    <w:rsid w:val="00FE105C"/>
    <w:rsid w:val="00FE37A1"/>
    <w:rsid w:val="00FE6058"/>
    <w:rsid w:val="00FE7701"/>
    <w:rsid w:val="00FF14A4"/>
    <w:rsid w:val="00FF6765"/>
    <w:rsid w:val="00FF746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76E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3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F03B6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15051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Header">
    <w:name w:val="header"/>
    <w:basedOn w:val="Normal"/>
    <w:link w:val="HeaderChar"/>
    <w:uiPriority w:val="99"/>
    <w:unhideWhenUsed/>
    <w:rsid w:val="00A62C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C1E"/>
  </w:style>
  <w:style w:type="paragraph" w:styleId="Footer">
    <w:name w:val="footer"/>
    <w:basedOn w:val="Normal"/>
    <w:link w:val="FooterChar"/>
    <w:uiPriority w:val="99"/>
    <w:unhideWhenUsed/>
    <w:rsid w:val="00A62C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2C1E"/>
  </w:style>
  <w:style w:type="character" w:styleId="Hyperlink">
    <w:name w:val="Hyperlink"/>
    <w:basedOn w:val="DefaultParagraphFont"/>
    <w:uiPriority w:val="99"/>
    <w:unhideWhenUsed/>
    <w:rsid w:val="00FD6751"/>
    <w:rPr>
      <w:color w:val="0563C1" w:themeColor="hyperlink"/>
      <w:u w:val="single"/>
    </w:rPr>
  </w:style>
  <w:style w:type="paragraph" w:styleId="BalloonText">
    <w:name w:val="Balloon Text"/>
    <w:basedOn w:val="Normal"/>
    <w:link w:val="BalloonTextChar"/>
    <w:uiPriority w:val="99"/>
    <w:semiHidden/>
    <w:unhideWhenUsed/>
    <w:rsid w:val="00DA75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53A"/>
    <w:rPr>
      <w:rFonts w:ascii="Segoe UI" w:hAnsi="Segoe UI" w:cs="Segoe UI"/>
      <w:sz w:val="18"/>
      <w:szCs w:val="18"/>
    </w:rPr>
  </w:style>
  <w:style w:type="paragraph" w:styleId="ListParagraph">
    <w:name w:val="List Paragraph"/>
    <w:basedOn w:val="Normal"/>
    <w:uiPriority w:val="34"/>
    <w:qFormat/>
    <w:rsid w:val="00F20C01"/>
    <w:pPr>
      <w:ind w:left="720"/>
      <w:contextualSpacing/>
    </w:pPr>
  </w:style>
  <w:style w:type="character" w:styleId="CommentReference">
    <w:name w:val="annotation reference"/>
    <w:basedOn w:val="DefaultParagraphFont"/>
    <w:uiPriority w:val="99"/>
    <w:semiHidden/>
    <w:unhideWhenUsed/>
    <w:rsid w:val="00AB18D5"/>
    <w:rPr>
      <w:sz w:val="16"/>
      <w:szCs w:val="16"/>
    </w:rPr>
  </w:style>
  <w:style w:type="paragraph" w:styleId="CommentText">
    <w:name w:val="annotation text"/>
    <w:basedOn w:val="Normal"/>
    <w:link w:val="CommentTextChar"/>
    <w:uiPriority w:val="99"/>
    <w:semiHidden/>
    <w:unhideWhenUsed/>
    <w:rsid w:val="00AB18D5"/>
    <w:pPr>
      <w:spacing w:line="240" w:lineRule="auto"/>
    </w:pPr>
    <w:rPr>
      <w:sz w:val="20"/>
      <w:szCs w:val="20"/>
    </w:rPr>
  </w:style>
  <w:style w:type="character" w:customStyle="1" w:styleId="CommentTextChar">
    <w:name w:val="Comment Text Char"/>
    <w:basedOn w:val="DefaultParagraphFont"/>
    <w:link w:val="CommentText"/>
    <w:uiPriority w:val="99"/>
    <w:semiHidden/>
    <w:rsid w:val="00AB18D5"/>
    <w:rPr>
      <w:sz w:val="20"/>
      <w:szCs w:val="20"/>
    </w:rPr>
  </w:style>
  <w:style w:type="paragraph" w:styleId="CommentSubject">
    <w:name w:val="annotation subject"/>
    <w:basedOn w:val="CommentText"/>
    <w:next w:val="CommentText"/>
    <w:link w:val="CommentSubjectChar"/>
    <w:uiPriority w:val="99"/>
    <w:semiHidden/>
    <w:unhideWhenUsed/>
    <w:rsid w:val="00AB18D5"/>
    <w:rPr>
      <w:b/>
      <w:bCs/>
    </w:rPr>
  </w:style>
  <w:style w:type="character" w:customStyle="1" w:styleId="CommentSubjectChar">
    <w:name w:val="Comment Subject Char"/>
    <w:basedOn w:val="CommentTextChar"/>
    <w:link w:val="CommentSubject"/>
    <w:uiPriority w:val="99"/>
    <w:semiHidden/>
    <w:rsid w:val="00AB18D5"/>
    <w:rPr>
      <w:b/>
      <w:bCs/>
      <w:sz w:val="20"/>
      <w:szCs w:val="20"/>
    </w:rPr>
  </w:style>
  <w:style w:type="paragraph" w:styleId="FootnoteText">
    <w:name w:val="footnote text"/>
    <w:basedOn w:val="Normal"/>
    <w:link w:val="FootnoteTextChar"/>
    <w:uiPriority w:val="99"/>
    <w:unhideWhenUsed/>
    <w:rsid w:val="00D27364"/>
    <w:pPr>
      <w:spacing w:after="0" w:line="240" w:lineRule="auto"/>
    </w:pPr>
    <w:rPr>
      <w:sz w:val="20"/>
      <w:szCs w:val="20"/>
    </w:rPr>
  </w:style>
  <w:style w:type="character" w:customStyle="1" w:styleId="FootnoteTextChar">
    <w:name w:val="Footnote Text Char"/>
    <w:basedOn w:val="DefaultParagraphFont"/>
    <w:link w:val="FootnoteText"/>
    <w:uiPriority w:val="99"/>
    <w:rsid w:val="00D27364"/>
    <w:rPr>
      <w:sz w:val="20"/>
      <w:szCs w:val="20"/>
    </w:rPr>
  </w:style>
  <w:style w:type="character" w:styleId="FootnoteReference">
    <w:name w:val="footnote reference"/>
    <w:basedOn w:val="DefaultParagraphFont"/>
    <w:uiPriority w:val="99"/>
    <w:semiHidden/>
    <w:unhideWhenUsed/>
    <w:rsid w:val="00D27364"/>
    <w:rPr>
      <w:vertAlign w:val="superscript"/>
    </w:rPr>
  </w:style>
  <w:style w:type="paragraph" w:styleId="EndnoteText">
    <w:name w:val="endnote text"/>
    <w:basedOn w:val="Normal"/>
    <w:link w:val="EndnoteTextChar"/>
    <w:uiPriority w:val="99"/>
    <w:unhideWhenUsed/>
    <w:rsid w:val="00ED1763"/>
    <w:pPr>
      <w:spacing w:after="0" w:line="240" w:lineRule="auto"/>
    </w:pPr>
    <w:rPr>
      <w:sz w:val="20"/>
      <w:szCs w:val="20"/>
    </w:rPr>
  </w:style>
  <w:style w:type="character" w:customStyle="1" w:styleId="EndnoteTextChar">
    <w:name w:val="Endnote Text Char"/>
    <w:basedOn w:val="DefaultParagraphFont"/>
    <w:link w:val="EndnoteText"/>
    <w:uiPriority w:val="99"/>
    <w:rsid w:val="00ED1763"/>
    <w:rPr>
      <w:sz w:val="20"/>
      <w:szCs w:val="20"/>
    </w:rPr>
  </w:style>
  <w:style w:type="character" w:styleId="EndnoteReference">
    <w:name w:val="endnote reference"/>
    <w:basedOn w:val="DefaultParagraphFont"/>
    <w:uiPriority w:val="99"/>
    <w:semiHidden/>
    <w:unhideWhenUsed/>
    <w:rsid w:val="00ED1763"/>
    <w:rPr>
      <w:vertAlign w:val="superscript"/>
    </w:rPr>
  </w:style>
  <w:style w:type="character" w:customStyle="1" w:styleId="Heading2Char">
    <w:name w:val="Heading 2 Char"/>
    <w:basedOn w:val="DefaultParagraphFont"/>
    <w:link w:val="Heading2"/>
    <w:uiPriority w:val="9"/>
    <w:semiHidden/>
    <w:rsid w:val="00476E2E"/>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uiPriority w:val="39"/>
    <w:rsid w:val="00B03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Categorie xmlns="295fffd3-d94e-42f1-8114-99787fef219c">Deelnemingen</Categorie>
    <TaxCatchAll xmlns="d3e398ae-f90d-49be-9c71-68e4efafec01"/>
    <Vennootschap xmlns="295fffd3-d94e-42f1-8114-99787fef219c">Geen</Vennootschap>
    <UserField1 xmlns="http://schemas.microsoft.com/sharepoint/v3" xsi:nil="true"/>
    <ReportCategory xmlns="http://schemas.microsoft.com/sharepoint/v3">1. Vennootschapsdocumentatie</ReportCategory>
    <Subcategorie xmlns="295fffd3-d94e-42f1-8114-99787fef219c">11. Formele correspondentie</Subcategorie>
    <TaxKeywordTaxHTField xmlns="d3e398ae-f90d-49be-9c71-68e4efafec01">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4B72CF8629E9F4B8CB92120A80810B4" ma:contentTypeVersion="24" ma:contentTypeDescription="Een nieuw document maken." ma:contentTypeScope="" ma:versionID="db2c8727be911ec8c8619c84db85cefc">
  <xsd:schema xmlns:xsd="http://www.w3.org/2001/XMLSchema" xmlns:xs="http://www.w3.org/2001/XMLSchema" xmlns:p="http://schemas.microsoft.com/office/2006/metadata/properties" xmlns:ns1="http://schemas.microsoft.com/sharepoint/v3" xmlns:ns2="d3e398ae-f90d-49be-9c71-68e4efafec01" xmlns:ns3="295fffd3-d94e-42f1-8114-99787fef219c" targetNamespace="http://schemas.microsoft.com/office/2006/metadata/properties" ma:root="true" ma:fieldsID="e580b0505ef7506776f3b507fd85d872" ns1:_="" ns2:_="" ns3:_="">
    <xsd:import namespace="http://schemas.microsoft.com/sharepoint/v3"/>
    <xsd:import namespace="d3e398ae-f90d-49be-9c71-68e4efafec01"/>
    <xsd:import namespace="295fffd3-d94e-42f1-8114-99787fef219c"/>
    <xsd:element name="properties">
      <xsd:complexType>
        <xsd:sequence>
          <xsd:element name="documentManagement">
            <xsd:complexType>
              <xsd:all>
                <xsd:element ref="ns2:SharedWithUsers" minOccurs="0"/>
                <xsd:element ref="ns2:SharedWithDetails" minOccurs="0"/>
                <xsd:element ref="ns3:Categorie" minOccurs="0"/>
                <xsd:element ref="ns3:Vennootschap" minOccurs="0"/>
                <xsd:element ref="ns2:TaxKeywordTaxHTField" minOccurs="0"/>
                <xsd:element ref="ns2:TaxCatchAll" minOccurs="0"/>
                <xsd:element ref="ns1:ReportCategory" minOccurs="0"/>
                <xsd:element ref="ns1:UserField1" minOccurs="0"/>
                <xsd:element ref="ns3:Subcategorie"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Category" ma:index="15" nillable="true" ma:displayName="Rapportcategorie" ma:default="1. Vennootschapsdocumentatie" ma:description="Categorie van het rapport" ma:format="Dropdown" ma:indexed="true" ma:internalName="ReportCategory">
      <xsd:simpleType>
        <xsd:union memberTypes="dms:Text">
          <xsd:simpleType>
            <xsd:restriction base="dms:Choice">
              <xsd:enumeration value="1. Vennootschapsdocumentatie"/>
              <xsd:enumeration value="2. Formele verslaglegging"/>
              <xsd:enumeration value="3. Financiering"/>
              <xsd:enumeration value="4. Overeenkomsten"/>
              <xsd:enumeration value="5. Documentatie"/>
              <xsd:enumeration value="6. Investment management"/>
              <xsd:enumeration value="7. Transactiedocumentatie"/>
              <xsd:enumeration value="8. Structuur"/>
              <xsd:enumeration value="9. Overigen"/>
              <xsd:enumeration value="10. Projecten"/>
            </xsd:restriction>
          </xsd:simpleType>
        </xsd:union>
      </xsd:simpleType>
    </xsd:element>
    <xsd:element name="UserField1" ma:index="16" nillable="true" ma:displayName="Jaartal" ma:description="Jaar waarop document betrekking heeft" ma:internalName="UserField1">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e398ae-f90d-49be-9c71-68e4efafec01"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KeywordTaxHTField" ma:index="13" nillable="true" ma:taxonomy="true" ma:internalName="TaxKeywordTaxHTField" ma:taxonomyFieldName="TaxKeyword" ma:displayName="Ondernemingstrefwoorden" ma:readOnly="false" ma:fieldId="{23f27201-bee3-471e-b2e7-b64fd8b7ca38}" ma:taxonomyMulti="true" ma:sspId="a800e2c9-fd46-404d-b087-9bb6cdf7bb2c"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23ecfb66-a935-4d47-a881-d6d6c080faae}" ma:internalName="TaxCatchAll" ma:showField="CatchAllData" ma:web="d3e398ae-f90d-49be-9c71-68e4efafec01">
      <xsd:complexType>
        <xsd:complexContent>
          <xsd:extension base="dms:MultiChoiceLookup">
            <xsd:sequence>
              <xsd:element name="Value" type="dms:Lookup" maxOccurs="unbounded" minOccurs="0" nillable="true"/>
            </xsd:sequence>
          </xsd:extension>
        </xsd:complexContent>
      </xsd:complexType>
    </xsd:element>
    <xsd:element name="LastSharedByUser" ma:index="18" nillable="true" ma:displayName="Laatst gedeeld, per gebruiker" ma:description="" ma:internalName="LastSharedByUser" ma:readOnly="true">
      <xsd:simpleType>
        <xsd:restriction base="dms:Note">
          <xsd:maxLength value="255"/>
        </xsd:restriction>
      </xsd:simpleType>
    </xsd:element>
    <xsd:element name="LastSharedByTime" ma:index="19"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95fffd3-d94e-42f1-8114-99787fef219c" elementFormDefault="qualified">
    <xsd:import namespace="http://schemas.microsoft.com/office/2006/documentManagement/types"/>
    <xsd:import namespace="http://schemas.microsoft.com/office/infopath/2007/PartnerControls"/>
    <xsd:element name="Categorie" ma:index="10" nillable="true" ma:displayName="Categorie" ma:default="Deelnemingen" ma:format="Dropdown" ma:indexed="true" ma:internalName="Categorie">
      <xsd:simpleType>
        <xsd:union memberTypes="dms:Text">
          <xsd:simpleType>
            <xsd:restriction base="dms:Choice">
              <xsd:enumeration value="Eigen Vennootschappen"/>
              <xsd:enumeration value="Deelnemingen"/>
              <xsd:enumeration value="Fondsen"/>
              <xsd:enumeration value="Investeerders"/>
              <xsd:enumeration value="Leads"/>
              <xsd:enumeration value="Persoonlijke mappen"/>
            </xsd:restriction>
          </xsd:simpleType>
        </xsd:union>
      </xsd:simpleType>
    </xsd:element>
    <xsd:element name="Vennootschap" ma:index="11" nillable="true" ma:displayName="Relatie" ma:default="Geen" ma:format="Dropdown" ma:indexed="true" ma:internalName="Vennootschap">
      <xsd:simpleType>
        <xsd:union memberTypes="dms:Text">
          <xsd:simpleType>
            <xsd:restriction base="dms:Choice">
              <xsd:enumeration value="Geen"/>
              <xsd:enumeration value="Beekman Group"/>
              <xsd:enumeration value="Dadel investments"/>
              <xsd:enumeration value="Drogisterij.net"/>
              <xsd:enumeration value="Instituut voor Hyperbare Geneeskunde"/>
              <xsd:enumeration value="HG Invest"/>
              <xsd:enumeration value="HG Invest II"/>
              <xsd:enumeration value="HG Invest III"/>
              <xsd:enumeration value="The Rent Company"/>
            </xsd:restriction>
          </xsd:simpleType>
        </xsd:union>
      </xsd:simpleType>
    </xsd:element>
    <xsd:element name="Subcategorie" ma:index="17" nillable="true" ma:displayName="Subcategorie" ma:default="11. Formele correspondentie" ma:format="Dropdown" ma:internalName="Subcategorie">
      <xsd:simpleType>
        <xsd:union memberTypes="dms:Text">
          <xsd:simpleType>
            <xsd:restriction base="dms:Choice">
              <xsd:enumeration value="1. Kamer van Koophandel"/>
              <xsd:enumeration value="2. Register van Aandeelhouders"/>
              <xsd:enumeration value="3. Statuten en oprichtingsakten"/>
              <xsd:enumeration value="4. Koop- en verkoop van aandelen"/>
              <xsd:enumeration value="5. Gegevens belastingdienst"/>
              <xsd:enumeration value="6. Notulen en agenda AvA"/>
              <xsd:enumeration value="7. Notulen en agenda RvC"/>
              <xsd:enumeration value="8. Vastgestelde en ondertekende jaarrekening"/>
              <xsd:enumeration value="9. Jaarverslagen"/>
              <xsd:enumeration value="10. Deponeringsstukken Kamer van Koophandel"/>
              <xsd:enumeration value="11. Formele correspondentie"/>
              <xsd:enumeration value="12. Aandeelhoudersbesluiten"/>
              <xsd:enumeration value="13. Financieringsovereenkomsten bank"/>
              <xsd:enumeration value="14. Leningsovereenkomsten"/>
              <xsd:enumeration value="15. Bankafschriften"/>
              <xsd:enumeration value="16. Correspondentie met bank"/>
              <xsd:enumeration value="17. Gegevens bankrekening"/>
              <xsd:enumeration value="18. Managementovereenkomst bestuurder"/>
              <xsd:enumeration value="19. Verzekeringen"/>
              <xsd:enumeration value="20. Overige overeenkomsten"/>
              <xsd:enumeration value="21. Overige documenten"/>
            </xsd:restriction>
          </xsd:simpleType>
        </xsd:union>
      </xsd:simple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AutoTags" ma:index="22" nillable="true" ma:displayName="MediaServiceAutoTags" ma:description="" ma:internalName="MediaServiceAutoTags" ma:readOnly="true">
      <xsd:simpleType>
        <xsd:restriction base="dms:Text"/>
      </xsd:simpleType>
    </xsd:element>
    <xsd:element name="MediaServiceDateTaken" ma:index="23" nillable="true" ma:displayName="MediaServiceDateTaken" ma:descriptio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894990-2FAF-4794-A9F9-C8BD38FA2637}">
  <ds:schemaRefs>
    <ds:schemaRef ds:uri="http://schemas.openxmlformats.org/package/2006/metadata/core-properties"/>
    <ds:schemaRef ds:uri="http://purl.org/dc/dcmitype/"/>
    <ds:schemaRef ds:uri="295fffd3-d94e-42f1-8114-99787fef219c"/>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microsoft.com/sharepoint/v3"/>
    <ds:schemaRef ds:uri="d3e398ae-f90d-49be-9c71-68e4efafec01"/>
    <ds:schemaRef ds:uri="http://purl.org/dc/elements/1.1/"/>
    <ds:schemaRef ds:uri="http://www.w3.org/XML/1998/namespace"/>
  </ds:schemaRefs>
</ds:datastoreItem>
</file>

<file path=customXml/itemProps2.xml><?xml version="1.0" encoding="utf-8"?>
<ds:datastoreItem xmlns:ds="http://schemas.openxmlformats.org/officeDocument/2006/customXml" ds:itemID="{03293A3D-CAE7-47EE-AE25-065A494109F6}">
  <ds:schemaRefs>
    <ds:schemaRef ds:uri="http://schemas.microsoft.com/sharepoint/v3/contenttype/forms"/>
  </ds:schemaRefs>
</ds:datastoreItem>
</file>

<file path=customXml/itemProps3.xml><?xml version="1.0" encoding="utf-8"?>
<ds:datastoreItem xmlns:ds="http://schemas.openxmlformats.org/officeDocument/2006/customXml" ds:itemID="{B7952A66-99F0-48E8-A7A0-6DCA8725070F}">
  <ds:schemaRefs>
    <ds:schemaRef ds:uri="http://schemas.openxmlformats.org/officeDocument/2006/bibliography"/>
  </ds:schemaRefs>
</ds:datastoreItem>
</file>

<file path=customXml/itemProps4.xml><?xml version="1.0" encoding="utf-8"?>
<ds:datastoreItem xmlns:ds="http://schemas.openxmlformats.org/officeDocument/2006/customXml" ds:itemID="{BEC8A77A-2B59-488A-9274-8F4F6A24C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e398ae-f90d-49be-9c71-68e4efafec01"/>
    <ds:schemaRef ds:uri="295fffd3-d94e-42f1-8114-99787fef2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6595</Words>
  <Characters>38380</Characters>
  <Application>Microsoft Office Word</Application>
  <DocSecurity>0</DocSecurity>
  <Lines>136</Lines>
  <Paragraphs>224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2022-12-09T16:05:00Z</dcterms:created>
  <dcterms:modified xsi:type="dcterms:W3CDTF">2022-12-09T16:06:00Z</dcterms:modified>
</cp:coreProperties>
</file>