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C0" w:rsidRPr="00FF789A" w:rsidRDefault="008000AF">
      <w:pPr>
        <w:rPr>
          <w:b/>
          <w:bCs/>
        </w:rPr>
      </w:pPr>
      <w:r w:rsidRPr="00FF789A">
        <w:rPr>
          <w:b/>
          <w:bCs/>
        </w:rPr>
        <w:t xml:space="preserve">Toelatingsregeling </w:t>
      </w:r>
      <w:r w:rsidR="00FF789A" w:rsidRPr="00FF789A">
        <w:rPr>
          <w:b/>
          <w:bCs/>
        </w:rPr>
        <w:t xml:space="preserve">voor </w:t>
      </w:r>
      <w:r w:rsidRPr="00FF789A">
        <w:rPr>
          <w:b/>
          <w:bCs/>
        </w:rPr>
        <w:t>buitenlandse investeerders</w:t>
      </w:r>
      <w:r w:rsidR="00FF789A" w:rsidRPr="00FF789A">
        <w:rPr>
          <w:b/>
          <w:bCs/>
        </w:rPr>
        <w:t xml:space="preserve"> in Nederland</w:t>
      </w:r>
      <w:r w:rsidR="00933CEE">
        <w:rPr>
          <w:b/>
          <w:bCs/>
        </w:rPr>
        <w:t xml:space="preserve"> vereenvoudigd </w:t>
      </w:r>
    </w:p>
    <w:p w:rsidR="008000AF" w:rsidRDefault="008000AF" w:rsidP="00F00AB0">
      <w:pPr>
        <w:rPr>
          <w:i/>
          <w:iCs/>
        </w:rPr>
      </w:pPr>
      <w:r w:rsidRPr="00933CEE">
        <w:rPr>
          <w:i/>
          <w:iCs/>
        </w:rPr>
        <w:t xml:space="preserve">Nederland </w:t>
      </w:r>
      <w:r w:rsidR="0064225F" w:rsidRPr="00933CEE">
        <w:rPr>
          <w:i/>
          <w:iCs/>
        </w:rPr>
        <w:t xml:space="preserve">is een prettig land om in te wonen met onder meer goede voorzieningen op het gebied van onderwijs en medische zorg. Het heeft ook </w:t>
      </w:r>
      <w:r w:rsidRPr="00933CEE">
        <w:rPr>
          <w:i/>
          <w:iCs/>
        </w:rPr>
        <w:t>een gunstig vestigingsklimaat</w:t>
      </w:r>
      <w:r w:rsidR="0064225F" w:rsidRPr="00933CEE">
        <w:rPr>
          <w:i/>
          <w:iCs/>
        </w:rPr>
        <w:t xml:space="preserve"> </w:t>
      </w:r>
      <w:r w:rsidRPr="00933CEE">
        <w:rPr>
          <w:i/>
          <w:iCs/>
        </w:rPr>
        <w:t xml:space="preserve">voor </w:t>
      </w:r>
      <w:r w:rsidR="0064225F" w:rsidRPr="00933CEE">
        <w:rPr>
          <w:i/>
          <w:iCs/>
        </w:rPr>
        <w:t>buitenlandse investeerders</w:t>
      </w:r>
      <w:r w:rsidRPr="00933CEE">
        <w:rPr>
          <w:i/>
          <w:iCs/>
        </w:rPr>
        <w:t>.</w:t>
      </w:r>
      <w:r w:rsidR="0064225F" w:rsidRPr="00933CEE">
        <w:rPr>
          <w:i/>
          <w:iCs/>
        </w:rPr>
        <w:t xml:space="preserve"> </w:t>
      </w:r>
      <w:r w:rsidRPr="00933CEE">
        <w:rPr>
          <w:i/>
          <w:iCs/>
        </w:rPr>
        <w:t xml:space="preserve">Voor investeerders </w:t>
      </w:r>
      <w:r w:rsidR="0064225F" w:rsidRPr="00933CEE">
        <w:rPr>
          <w:i/>
          <w:iCs/>
        </w:rPr>
        <w:t xml:space="preserve">van buiten de EU </w:t>
      </w:r>
      <w:r w:rsidRPr="00933CEE">
        <w:rPr>
          <w:i/>
          <w:iCs/>
        </w:rPr>
        <w:t>die in Nederland willen verblijven, is er de mogelijkheid om een verblijfsvergunning te verkrijgen. Vanaf 1 juli 2016 worden de voorwaarden voor het verkrijgen van een verblijfsvergunning voor buitenlandse investeerders</w:t>
      </w:r>
      <w:r w:rsidR="00FF789A" w:rsidRPr="00933CEE">
        <w:rPr>
          <w:i/>
          <w:iCs/>
        </w:rPr>
        <w:t xml:space="preserve"> </w:t>
      </w:r>
      <w:r w:rsidRPr="00933CEE">
        <w:rPr>
          <w:i/>
          <w:iCs/>
        </w:rPr>
        <w:t xml:space="preserve">eenvoudiger.  </w:t>
      </w:r>
      <w:r w:rsidR="00F00AB0">
        <w:rPr>
          <w:i/>
          <w:iCs/>
        </w:rPr>
        <w:t>De toets op toegevoegde waarde voor Nederland wordt globaler, de eerste verblijfsvergunning krijgt een geldigheidsduur van drie jaar en de accountantsverklaring vervalt.</w:t>
      </w:r>
    </w:p>
    <w:p w:rsidR="00AA6C55" w:rsidRPr="00933CEE" w:rsidRDefault="00AA6C55" w:rsidP="0023139D">
      <w:pPr>
        <w:rPr>
          <w:i/>
          <w:iCs/>
        </w:rPr>
      </w:pPr>
    </w:p>
    <w:p w:rsidR="00933CEE" w:rsidRPr="00933CEE" w:rsidRDefault="00933CEE" w:rsidP="00287223">
      <w:pPr>
        <w:spacing w:after="0"/>
        <w:contextualSpacing/>
        <w:rPr>
          <w:b/>
          <w:bCs/>
        </w:rPr>
      </w:pPr>
      <w:r w:rsidRPr="00933CEE">
        <w:rPr>
          <w:b/>
          <w:bCs/>
        </w:rPr>
        <w:t xml:space="preserve">Voorwaarden </w:t>
      </w:r>
    </w:p>
    <w:p w:rsidR="001D1E77" w:rsidRDefault="001D1E77" w:rsidP="0023139D">
      <w:pPr>
        <w:spacing w:after="0"/>
        <w:contextualSpacing/>
      </w:pPr>
      <w:r>
        <w:t>De voorwaarden voor het verkrijgen van een verblij</w:t>
      </w:r>
      <w:r w:rsidR="0064225F">
        <w:t>f</w:t>
      </w:r>
      <w:r>
        <w:t>svergunning</w:t>
      </w:r>
      <w:r w:rsidR="0023139D">
        <w:t xml:space="preserve"> zijn</w:t>
      </w:r>
      <w:r>
        <w:t>:</w:t>
      </w:r>
    </w:p>
    <w:p w:rsidR="001D1E77" w:rsidRDefault="001D1E77" w:rsidP="00F00AB0">
      <w:pPr>
        <w:pStyle w:val="Geenafstand"/>
        <w:numPr>
          <w:ilvl w:val="0"/>
          <w:numId w:val="4"/>
        </w:numPr>
      </w:pPr>
      <w:r>
        <w:t xml:space="preserve">Een investering van ten minste € 1.250.000 in een Nederlands bedrijf of in een participatie- of </w:t>
      </w:r>
      <w:r w:rsidR="00F00AB0">
        <w:t>SEED</w:t>
      </w:r>
      <w:r>
        <w:t>fonds.</w:t>
      </w:r>
    </w:p>
    <w:p w:rsidR="00D50CDA" w:rsidRDefault="00933CEE" w:rsidP="00933CEE">
      <w:pPr>
        <w:pStyle w:val="Geenafstand"/>
        <w:numPr>
          <w:ilvl w:val="0"/>
          <w:numId w:val="4"/>
        </w:numPr>
      </w:pPr>
      <w:r>
        <w:t xml:space="preserve">Bij </w:t>
      </w:r>
      <w:r w:rsidR="0023139D">
        <w:t>investering</w:t>
      </w:r>
      <w:r w:rsidR="00D50CDA">
        <w:t xml:space="preserve"> in een Nederlands bedrijf wordt getoetst op de toegevoegde waarde voor de Nederlandse economie.</w:t>
      </w:r>
      <w:r w:rsidR="0023139D">
        <w:t xml:space="preserve"> </w:t>
      </w:r>
      <w:r w:rsidR="00D50CDA">
        <w:t>Die toegevoegde waarde blijkt als</w:t>
      </w:r>
      <w:r w:rsidR="001C5E68">
        <w:t xml:space="preserve"> de investering aan </w:t>
      </w:r>
      <w:r w:rsidR="00D50CDA">
        <w:t xml:space="preserve">twee van de volgende drie criteria </w:t>
      </w:r>
      <w:r w:rsidR="001C5E68">
        <w:t>voldoet</w:t>
      </w:r>
      <w:r w:rsidR="00D50CDA">
        <w:t>:</w:t>
      </w:r>
    </w:p>
    <w:p w:rsidR="001C5E68" w:rsidRDefault="001C5E68" w:rsidP="00933CEE">
      <w:pPr>
        <w:pStyle w:val="Geenafstand"/>
        <w:numPr>
          <w:ilvl w:val="0"/>
          <w:numId w:val="6"/>
        </w:numPr>
      </w:pPr>
      <w:r>
        <w:t>Binnen vijf jaar worden ten mins</w:t>
      </w:r>
      <w:r w:rsidR="00CD284B">
        <w:t>te 10 arbeidsplaatsen gecreëerd.</w:t>
      </w:r>
    </w:p>
    <w:p w:rsidR="008A027B" w:rsidRDefault="001C5E68" w:rsidP="00933CEE">
      <w:pPr>
        <w:pStyle w:val="Geenafstand"/>
        <w:numPr>
          <w:ilvl w:val="0"/>
          <w:numId w:val="6"/>
        </w:numPr>
      </w:pPr>
      <w:r>
        <w:t>Een bijdrage aan vergroting van de innovativiteit van het Nederlandse bedrijf;</w:t>
      </w:r>
      <w:r w:rsidR="00CD284B">
        <w:t xml:space="preserve"> </w:t>
      </w:r>
      <w:r w:rsidR="008A027B">
        <w:t>dit kan onder meer blijken uit het inbrengen van een patent/octrooi, het investeren in innovativiteit, zowel technologisch als niet-technologisch of het investeren in een bedrijf dat behoort tot een topsector</w:t>
      </w:r>
      <w:r w:rsidR="008A027B">
        <w:rPr>
          <w:rStyle w:val="Voetnootmarkering"/>
        </w:rPr>
        <w:footnoteReference w:id="1"/>
      </w:r>
      <w:r w:rsidR="008A027B">
        <w:t>.</w:t>
      </w:r>
    </w:p>
    <w:p w:rsidR="001C5E68" w:rsidRDefault="001C5E68" w:rsidP="00933CEE">
      <w:pPr>
        <w:pStyle w:val="Geenafstand"/>
        <w:numPr>
          <w:ilvl w:val="0"/>
          <w:numId w:val="6"/>
        </w:numPr>
      </w:pPr>
      <w:r>
        <w:t xml:space="preserve">Er is een overige </w:t>
      </w:r>
      <w:r w:rsidR="00144489">
        <w:t xml:space="preserve">niet-financiële </w:t>
      </w:r>
      <w:r>
        <w:t>toegevoegde waarde</w:t>
      </w:r>
      <w:r w:rsidR="00144489">
        <w:t>, zoals specifieke kennis, netwerken, afnemers en actieve b</w:t>
      </w:r>
      <w:r w:rsidR="00D758E2">
        <w:t>etrokkenheid van de investeerder.</w:t>
      </w:r>
    </w:p>
    <w:p w:rsidR="006D789C" w:rsidRDefault="006D789C" w:rsidP="006D789C">
      <w:pPr>
        <w:pStyle w:val="Geenafstand"/>
        <w:numPr>
          <w:ilvl w:val="0"/>
          <w:numId w:val="8"/>
        </w:numPr>
      </w:pPr>
      <w:r>
        <w:t>Bij een investering in een participatiefonds dat lid is van of lid wordt van de Vereniging van Nederlandse Participatiefondsen, of in een SEEDfonds dat door het ministerie van Economische Zaken wordt erkend, vind geen inhoudelijke toetst plaats op de investering.</w:t>
      </w:r>
    </w:p>
    <w:p w:rsidR="00706CA5" w:rsidRDefault="00D758E2" w:rsidP="00D758E2">
      <w:r>
        <w:t>Een toets op het mogelijk witwassen van onrechtmatig verkregen geld vindt plaats door de Financial Intelligence Unit in Nederland, die daarvoor ook contact opneemt met de FIU in het land van herkomst.</w:t>
      </w:r>
    </w:p>
    <w:p w:rsidR="00933CEE" w:rsidRPr="003F0ECE" w:rsidRDefault="00933CEE" w:rsidP="003F0ECE">
      <w:pPr>
        <w:pStyle w:val="Geenafstand"/>
        <w:rPr>
          <w:b/>
          <w:bCs/>
        </w:rPr>
      </w:pPr>
      <w:r w:rsidRPr="003F0ECE">
        <w:rPr>
          <w:b/>
          <w:bCs/>
        </w:rPr>
        <w:t>Verblijfsvergunning</w:t>
      </w:r>
    </w:p>
    <w:p w:rsidR="00D758E2" w:rsidRDefault="00706CA5" w:rsidP="003F0ECE">
      <w:pPr>
        <w:pStyle w:val="Geenafstand"/>
      </w:pPr>
      <w:r>
        <w:t xml:space="preserve">De eerste verblijfsvergunning heeft een geldigheidsduur van drie jaar; </w:t>
      </w:r>
      <w:r w:rsidR="00AA6C55">
        <w:t xml:space="preserve">bij verlenging krijgt de investeerder een </w:t>
      </w:r>
      <w:r>
        <w:t xml:space="preserve"> </w:t>
      </w:r>
      <w:r w:rsidR="00AA6C55">
        <w:t>verblijfs</w:t>
      </w:r>
      <w:r w:rsidR="00287223">
        <w:t>vergunning</w:t>
      </w:r>
      <w:r w:rsidR="00AA6C55">
        <w:t xml:space="preserve"> voor</w:t>
      </w:r>
      <w:r w:rsidR="00287223">
        <w:t xml:space="preserve"> </w:t>
      </w:r>
      <w:r>
        <w:t>vijf jaar. Na vijf jaar verblijf heeft de investeerder – en zijn gezin – de mogelijkheid om een verblijfsvergunning voor onbepaalde tijd of naturalisatie aan te vragen. De investeerder mag zijn gezin</w:t>
      </w:r>
      <w:r w:rsidR="00AA6C55">
        <w:t xml:space="preserve"> (partner en minderjarige gezinsleden)</w:t>
      </w:r>
      <w:r>
        <w:t xml:space="preserve"> meenemen naar Nederland. De gezinsleden zijn, net als de investeerder zelf, vrij op de Nederlandse arbeidsmarkt.</w:t>
      </w:r>
      <w:r w:rsidR="00D758E2">
        <w:t xml:space="preserve"> </w:t>
      </w:r>
    </w:p>
    <w:p w:rsidR="008A027B" w:rsidRDefault="008A027B" w:rsidP="00706CA5">
      <w:r>
        <w:t>De minimale termijn dat de investeerder in Nederland moet verblijven is vier maanden binnen twaalf maanden.</w:t>
      </w:r>
    </w:p>
    <w:p w:rsidR="00AA6C55" w:rsidRDefault="00AA6C55" w:rsidP="00706CA5">
      <w:r>
        <w:t xml:space="preserve">De verblijfsvergunning met het verblijfsdoel ‘vermogende vreemdeling’ </w:t>
      </w:r>
      <w:r w:rsidR="006D789C">
        <w:t xml:space="preserve">(buitenlandse investeerder) </w:t>
      </w:r>
      <w:r>
        <w:t>kan aangevraagd worden bij de IND. Op de site van de IND staat uitleg over de regeling en de aanvraagprocedure.</w:t>
      </w:r>
    </w:p>
    <w:p w:rsidR="00AA6C55" w:rsidRDefault="000F5AC7" w:rsidP="00706CA5">
      <w:pPr>
        <w:contextualSpacing/>
      </w:pPr>
      <w:r w:rsidRPr="00087702">
        <w:rPr>
          <w:b/>
          <w:bCs/>
        </w:rPr>
        <w:lastRenderedPageBreak/>
        <w:t>Meer informatie</w:t>
      </w:r>
      <w:r>
        <w:t xml:space="preserve"> vindt u op: </w:t>
      </w:r>
    </w:p>
    <w:p w:rsidR="00AA6C55" w:rsidRDefault="00AA6C55" w:rsidP="00706CA5">
      <w:pPr>
        <w:contextualSpacing/>
      </w:pPr>
      <w:r>
        <w:t xml:space="preserve">Website IND: </w:t>
      </w:r>
      <w:hyperlink r:id="rId9" w:history="1">
        <w:r w:rsidRPr="00BD5EDA">
          <w:rPr>
            <w:rStyle w:val="Hyperlink"/>
          </w:rPr>
          <w:t>https://ind.nl/zakelijk/Investeerder-zelfstandig-ondernemer-start-up/Investeerder</w:t>
        </w:r>
      </w:hyperlink>
    </w:p>
    <w:p w:rsidR="00AA6C55" w:rsidRDefault="00AA6C55" w:rsidP="00706CA5">
      <w:pPr>
        <w:contextualSpacing/>
      </w:pPr>
      <w:r w:rsidRPr="00AA6C55">
        <w:t>https://ind.nl/EN/business/investor-self-employment-start-up/Investor/Pages/default.aspx</w:t>
      </w:r>
    </w:p>
    <w:p w:rsidR="00933CEE" w:rsidRDefault="006D789C" w:rsidP="00706CA5">
      <w:pPr>
        <w:contextualSpacing/>
      </w:pPr>
      <w:hyperlink r:id="rId10" w:history="1">
        <w:r w:rsidR="000F5AC7" w:rsidRPr="00064617">
          <w:rPr>
            <w:rStyle w:val="Hyperlink"/>
          </w:rPr>
          <w:t>https://www.rijksoverheid.nl/onderwerpen/immigratie/inhoud/mogelijkheden-voor-ondernemers-en-werknemers-uit-het-buitenland/buitenlandse-investeerders</w:t>
        </w:r>
      </w:hyperlink>
    </w:p>
    <w:p w:rsidR="00933CEE" w:rsidRDefault="006D789C" w:rsidP="00706CA5">
      <w:pPr>
        <w:contextualSpacing/>
      </w:pPr>
      <w:hyperlink r:id="rId11" w:history="1">
        <w:r w:rsidR="00087702" w:rsidRPr="00064617">
          <w:rPr>
            <w:rStyle w:val="Hyperlink"/>
          </w:rPr>
          <w:t>https://www.government.nl/latest/news/2016/01/08/scheme-for-foreign-investors-adjusted-by-state-secretary-dijkhoff</w:t>
        </w:r>
      </w:hyperlink>
    </w:p>
    <w:p w:rsidR="00087702" w:rsidRDefault="006D789C" w:rsidP="00706CA5">
      <w:pPr>
        <w:contextualSpacing/>
        <w:rPr>
          <w:rStyle w:val="Hyperlink"/>
        </w:rPr>
      </w:pPr>
      <w:hyperlink r:id="rId12" w:history="1">
        <w:r w:rsidR="00087702" w:rsidRPr="00064617">
          <w:rPr>
            <w:rStyle w:val="Hyperlink"/>
          </w:rPr>
          <w:t>https://www.government.nl/topics/immigration/contents/options-for-entrepreneurs-and-employees-from-abroad/foreign-investors</w:t>
        </w:r>
      </w:hyperlink>
    </w:p>
    <w:p w:rsidR="00087702" w:rsidRDefault="00087702" w:rsidP="00706CA5"/>
    <w:p w:rsidR="00087702" w:rsidRDefault="00087702" w:rsidP="00706CA5"/>
    <w:sectPr w:rsidR="0008770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C3" w:rsidRDefault="00247BC3" w:rsidP="00247BC3">
      <w:pPr>
        <w:spacing w:after="0" w:line="240" w:lineRule="auto"/>
      </w:pPr>
      <w:r>
        <w:separator/>
      </w:r>
    </w:p>
  </w:endnote>
  <w:endnote w:type="continuationSeparator" w:id="0">
    <w:p w:rsidR="00247BC3" w:rsidRDefault="00247BC3" w:rsidP="0024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C3" w:rsidRDefault="00247BC3" w:rsidP="00247BC3">
      <w:pPr>
        <w:spacing w:after="0" w:line="240" w:lineRule="auto"/>
      </w:pPr>
      <w:r>
        <w:separator/>
      </w:r>
    </w:p>
  </w:footnote>
  <w:footnote w:type="continuationSeparator" w:id="0">
    <w:p w:rsidR="00247BC3" w:rsidRDefault="00247BC3" w:rsidP="00247BC3">
      <w:pPr>
        <w:spacing w:after="0" w:line="240" w:lineRule="auto"/>
      </w:pPr>
      <w:r>
        <w:continuationSeparator/>
      </w:r>
    </w:p>
  </w:footnote>
  <w:footnote w:id="1">
    <w:p w:rsidR="008A027B" w:rsidRPr="008A027B" w:rsidRDefault="008A027B" w:rsidP="006D789C">
      <w:pPr>
        <w:pStyle w:val="Voetnoottekst"/>
      </w:pPr>
      <w:r>
        <w:rPr>
          <w:rStyle w:val="Voetnootmarkering"/>
        </w:rPr>
        <w:footnoteRef/>
      </w:r>
      <w:r w:rsidRPr="008A027B">
        <w:t xml:space="preserve"> Agri&amp;Foo</w:t>
      </w:r>
      <w:r w:rsidR="006D789C">
        <w:t>d</w:t>
      </w:r>
      <w:r w:rsidRPr="008A027B">
        <w:t>, Chemie, Creatieve Industrie, Energie, High Tech, Logistiek, Tuinbouw, Life Science&amp;Health en Water. Investeren in woningen valt niet onder de regeling.</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97A"/>
    <w:multiLevelType w:val="hybridMultilevel"/>
    <w:tmpl w:val="09C89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A40247"/>
    <w:multiLevelType w:val="hybridMultilevel"/>
    <w:tmpl w:val="1F30E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7164BC"/>
    <w:multiLevelType w:val="hybridMultilevel"/>
    <w:tmpl w:val="E9D29B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22C3A31"/>
    <w:multiLevelType w:val="hybridMultilevel"/>
    <w:tmpl w:val="13A62F5A"/>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3EFE648B"/>
    <w:multiLevelType w:val="hybridMultilevel"/>
    <w:tmpl w:val="13A62F5A"/>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4F122B0E"/>
    <w:multiLevelType w:val="hybridMultilevel"/>
    <w:tmpl w:val="01AEA7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2FC61C0"/>
    <w:multiLevelType w:val="hybridMultilevel"/>
    <w:tmpl w:val="8A60EF02"/>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7">
    <w:nsid w:val="53D43005"/>
    <w:multiLevelType w:val="hybridMultilevel"/>
    <w:tmpl w:val="FAA8BBF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AF"/>
    <w:rsid w:val="00087702"/>
    <w:rsid w:val="000F5AC7"/>
    <w:rsid w:val="00144489"/>
    <w:rsid w:val="001C5E68"/>
    <w:rsid w:val="001D1E77"/>
    <w:rsid w:val="0023139D"/>
    <w:rsid w:val="00247BC3"/>
    <w:rsid w:val="00287223"/>
    <w:rsid w:val="00384624"/>
    <w:rsid w:val="003F0ECE"/>
    <w:rsid w:val="0064225F"/>
    <w:rsid w:val="006D789C"/>
    <w:rsid w:val="00706CA5"/>
    <w:rsid w:val="008000AF"/>
    <w:rsid w:val="008A027B"/>
    <w:rsid w:val="00933CEE"/>
    <w:rsid w:val="00987665"/>
    <w:rsid w:val="00AA6C55"/>
    <w:rsid w:val="00B30199"/>
    <w:rsid w:val="00CD284B"/>
    <w:rsid w:val="00D50CDA"/>
    <w:rsid w:val="00D758E2"/>
    <w:rsid w:val="00F00AB0"/>
    <w:rsid w:val="00F0207D"/>
    <w:rsid w:val="00FF789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1E77"/>
    <w:pPr>
      <w:ind w:left="720"/>
      <w:contextualSpacing/>
    </w:pPr>
  </w:style>
  <w:style w:type="paragraph" w:styleId="Voetnoottekst">
    <w:name w:val="footnote text"/>
    <w:basedOn w:val="Standaard"/>
    <w:link w:val="VoetnoottekstChar"/>
    <w:uiPriority w:val="99"/>
    <w:semiHidden/>
    <w:unhideWhenUsed/>
    <w:rsid w:val="00247B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47BC3"/>
    <w:rPr>
      <w:sz w:val="20"/>
      <w:szCs w:val="20"/>
    </w:rPr>
  </w:style>
  <w:style w:type="character" w:styleId="Voetnootmarkering">
    <w:name w:val="footnote reference"/>
    <w:basedOn w:val="Standaardalinea-lettertype"/>
    <w:uiPriority w:val="99"/>
    <w:semiHidden/>
    <w:unhideWhenUsed/>
    <w:rsid w:val="00247BC3"/>
    <w:rPr>
      <w:vertAlign w:val="superscript"/>
    </w:rPr>
  </w:style>
  <w:style w:type="paragraph" w:styleId="Ballontekst">
    <w:name w:val="Balloon Text"/>
    <w:basedOn w:val="Standaard"/>
    <w:link w:val="BallontekstChar"/>
    <w:uiPriority w:val="99"/>
    <w:semiHidden/>
    <w:unhideWhenUsed/>
    <w:rsid w:val="00933C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3CEE"/>
    <w:rPr>
      <w:rFonts w:ascii="Tahoma" w:hAnsi="Tahoma" w:cs="Tahoma"/>
      <w:sz w:val="16"/>
      <w:szCs w:val="16"/>
    </w:rPr>
  </w:style>
  <w:style w:type="paragraph" w:styleId="Geenafstand">
    <w:name w:val="No Spacing"/>
    <w:uiPriority w:val="1"/>
    <w:qFormat/>
    <w:rsid w:val="00933CEE"/>
    <w:pPr>
      <w:spacing w:after="0" w:line="240" w:lineRule="auto"/>
    </w:pPr>
  </w:style>
  <w:style w:type="character" w:styleId="Hyperlink">
    <w:name w:val="Hyperlink"/>
    <w:basedOn w:val="Standaardalinea-lettertype"/>
    <w:uiPriority w:val="99"/>
    <w:unhideWhenUsed/>
    <w:rsid w:val="000F5AC7"/>
    <w:rPr>
      <w:color w:val="0000FF" w:themeColor="hyperlink"/>
      <w:u w:val="single"/>
    </w:rPr>
  </w:style>
  <w:style w:type="character" w:styleId="GevolgdeHyperlink">
    <w:name w:val="FollowedHyperlink"/>
    <w:basedOn w:val="Standaardalinea-lettertype"/>
    <w:uiPriority w:val="99"/>
    <w:semiHidden/>
    <w:unhideWhenUsed/>
    <w:rsid w:val="00AA6C55"/>
    <w:rPr>
      <w:color w:val="800080" w:themeColor="followedHyperlink"/>
      <w:u w:val="single"/>
    </w:rPr>
  </w:style>
  <w:style w:type="character" w:styleId="Verwijzingopmerking">
    <w:name w:val="annotation reference"/>
    <w:basedOn w:val="Standaardalinea-lettertype"/>
    <w:uiPriority w:val="99"/>
    <w:semiHidden/>
    <w:unhideWhenUsed/>
    <w:rsid w:val="00AA6C55"/>
    <w:rPr>
      <w:sz w:val="16"/>
      <w:szCs w:val="16"/>
    </w:rPr>
  </w:style>
  <w:style w:type="paragraph" w:styleId="Tekstopmerking">
    <w:name w:val="annotation text"/>
    <w:basedOn w:val="Standaard"/>
    <w:link w:val="TekstopmerkingChar"/>
    <w:uiPriority w:val="99"/>
    <w:semiHidden/>
    <w:unhideWhenUsed/>
    <w:rsid w:val="00AA6C5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A6C55"/>
    <w:rPr>
      <w:sz w:val="20"/>
      <w:szCs w:val="20"/>
    </w:rPr>
  </w:style>
  <w:style w:type="paragraph" w:styleId="Onderwerpvanopmerking">
    <w:name w:val="annotation subject"/>
    <w:basedOn w:val="Tekstopmerking"/>
    <w:next w:val="Tekstopmerking"/>
    <w:link w:val="OnderwerpvanopmerkingChar"/>
    <w:uiPriority w:val="99"/>
    <w:semiHidden/>
    <w:unhideWhenUsed/>
    <w:rsid w:val="00AA6C55"/>
    <w:rPr>
      <w:b/>
      <w:bCs/>
    </w:rPr>
  </w:style>
  <w:style w:type="character" w:customStyle="1" w:styleId="OnderwerpvanopmerkingChar">
    <w:name w:val="Onderwerp van opmerking Char"/>
    <w:basedOn w:val="TekstopmerkingChar"/>
    <w:link w:val="Onderwerpvanopmerking"/>
    <w:uiPriority w:val="99"/>
    <w:semiHidden/>
    <w:rsid w:val="00AA6C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1E77"/>
    <w:pPr>
      <w:ind w:left="720"/>
      <w:contextualSpacing/>
    </w:pPr>
  </w:style>
  <w:style w:type="paragraph" w:styleId="Voetnoottekst">
    <w:name w:val="footnote text"/>
    <w:basedOn w:val="Standaard"/>
    <w:link w:val="VoetnoottekstChar"/>
    <w:uiPriority w:val="99"/>
    <w:semiHidden/>
    <w:unhideWhenUsed/>
    <w:rsid w:val="00247B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47BC3"/>
    <w:rPr>
      <w:sz w:val="20"/>
      <w:szCs w:val="20"/>
    </w:rPr>
  </w:style>
  <w:style w:type="character" w:styleId="Voetnootmarkering">
    <w:name w:val="footnote reference"/>
    <w:basedOn w:val="Standaardalinea-lettertype"/>
    <w:uiPriority w:val="99"/>
    <w:semiHidden/>
    <w:unhideWhenUsed/>
    <w:rsid w:val="00247BC3"/>
    <w:rPr>
      <w:vertAlign w:val="superscript"/>
    </w:rPr>
  </w:style>
  <w:style w:type="paragraph" w:styleId="Ballontekst">
    <w:name w:val="Balloon Text"/>
    <w:basedOn w:val="Standaard"/>
    <w:link w:val="BallontekstChar"/>
    <w:uiPriority w:val="99"/>
    <w:semiHidden/>
    <w:unhideWhenUsed/>
    <w:rsid w:val="00933C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3CEE"/>
    <w:rPr>
      <w:rFonts w:ascii="Tahoma" w:hAnsi="Tahoma" w:cs="Tahoma"/>
      <w:sz w:val="16"/>
      <w:szCs w:val="16"/>
    </w:rPr>
  </w:style>
  <w:style w:type="paragraph" w:styleId="Geenafstand">
    <w:name w:val="No Spacing"/>
    <w:uiPriority w:val="1"/>
    <w:qFormat/>
    <w:rsid w:val="00933CEE"/>
    <w:pPr>
      <w:spacing w:after="0" w:line="240" w:lineRule="auto"/>
    </w:pPr>
  </w:style>
  <w:style w:type="character" w:styleId="Hyperlink">
    <w:name w:val="Hyperlink"/>
    <w:basedOn w:val="Standaardalinea-lettertype"/>
    <w:uiPriority w:val="99"/>
    <w:unhideWhenUsed/>
    <w:rsid w:val="000F5AC7"/>
    <w:rPr>
      <w:color w:val="0000FF" w:themeColor="hyperlink"/>
      <w:u w:val="single"/>
    </w:rPr>
  </w:style>
  <w:style w:type="character" w:styleId="GevolgdeHyperlink">
    <w:name w:val="FollowedHyperlink"/>
    <w:basedOn w:val="Standaardalinea-lettertype"/>
    <w:uiPriority w:val="99"/>
    <w:semiHidden/>
    <w:unhideWhenUsed/>
    <w:rsid w:val="00AA6C55"/>
    <w:rPr>
      <w:color w:val="800080" w:themeColor="followedHyperlink"/>
      <w:u w:val="single"/>
    </w:rPr>
  </w:style>
  <w:style w:type="character" w:styleId="Verwijzingopmerking">
    <w:name w:val="annotation reference"/>
    <w:basedOn w:val="Standaardalinea-lettertype"/>
    <w:uiPriority w:val="99"/>
    <w:semiHidden/>
    <w:unhideWhenUsed/>
    <w:rsid w:val="00AA6C55"/>
    <w:rPr>
      <w:sz w:val="16"/>
      <w:szCs w:val="16"/>
    </w:rPr>
  </w:style>
  <w:style w:type="paragraph" w:styleId="Tekstopmerking">
    <w:name w:val="annotation text"/>
    <w:basedOn w:val="Standaard"/>
    <w:link w:val="TekstopmerkingChar"/>
    <w:uiPriority w:val="99"/>
    <w:semiHidden/>
    <w:unhideWhenUsed/>
    <w:rsid w:val="00AA6C5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A6C55"/>
    <w:rPr>
      <w:sz w:val="20"/>
      <w:szCs w:val="20"/>
    </w:rPr>
  </w:style>
  <w:style w:type="paragraph" w:styleId="Onderwerpvanopmerking">
    <w:name w:val="annotation subject"/>
    <w:basedOn w:val="Tekstopmerking"/>
    <w:next w:val="Tekstopmerking"/>
    <w:link w:val="OnderwerpvanopmerkingChar"/>
    <w:uiPriority w:val="99"/>
    <w:semiHidden/>
    <w:unhideWhenUsed/>
    <w:rsid w:val="00AA6C55"/>
    <w:rPr>
      <w:b/>
      <w:bCs/>
    </w:rPr>
  </w:style>
  <w:style w:type="character" w:customStyle="1" w:styleId="OnderwerpvanopmerkingChar">
    <w:name w:val="Onderwerp van opmerking Char"/>
    <w:basedOn w:val="TekstopmerkingChar"/>
    <w:link w:val="Onderwerpvanopmerking"/>
    <w:uiPriority w:val="99"/>
    <w:semiHidden/>
    <w:rsid w:val="00AA6C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ernment.nl/topics/immigration/contents/options-for-entrepreneurs-and-employees-from-abroad/foreign-inves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ernment.nl/latest/news/2016/01/08/scheme-for-foreign-investors-adjusted-by-state-secretary-dijkhoff" TargetMode="External"/><Relationship Id="rId5" Type="http://schemas.openxmlformats.org/officeDocument/2006/relationships/settings" Target="settings.xml"/><Relationship Id="rId10" Type="http://schemas.openxmlformats.org/officeDocument/2006/relationships/hyperlink" Target="https://www.rijksoverheid.nl/onderwerpen/immigratie/inhoud/mogelijkheden-voor-ondernemers-en-werknemers-uit-het-buitenland/buitenlandse-investeerders" TargetMode="External"/><Relationship Id="rId4" Type="http://schemas.microsoft.com/office/2007/relationships/stylesWithEffects" Target="stylesWithEffects.xml"/><Relationship Id="rId9" Type="http://schemas.openxmlformats.org/officeDocument/2006/relationships/hyperlink" Target="https://ind.nl/zakelijk/Investeerder-zelfstandig-ondernemer-start-up/Investeerder"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9CFD-2A5D-4021-B8FC-48F064E0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3431</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Verboom, J.J. - BD/DMB/TR&amp;N</dc:creator>
  <cp:lastModifiedBy>Verboom, J.J. - BD/DMB/TR&amp;N</cp:lastModifiedBy>
  <cp:revision>2</cp:revision>
  <cp:lastPrinted>2016-06-02T09:30:00Z</cp:lastPrinted>
  <dcterms:created xsi:type="dcterms:W3CDTF">2016-06-21T13:03:00Z</dcterms:created>
  <dcterms:modified xsi:type="dcterms:W3CDTF">2016-06-21T13:03:00Z</dcterms:modified>
</cp:coreProperties>
</file>