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0848"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C9588ED"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DISCLAIMER:</w:t>
      </w:r>
    </w:p>
    <w:p w14:paraId="5FB2AC9C"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6494C592"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3A6C5745" w14:textId="77777777" w:rsidR="00334298" w:rsidRDefault="00334298" w:rsidP="00334298">
      <w:pPr>
        <w:tabs>
          <w:tab w:val="left" w:pos="4164"/>
        </w:tabs>
        <w:rPr>
          <w:b/>
          <w:bCs/>
        </w:rPr>
      </w:pPr>
    </w:p>
    <w:p w14:paraId="695CB4C0" w14:textId="77777777" w:rsidR="00334298" w:rsidRPr="00AE1F3A" w:rsidRDefault="00334298" w:rsidP="00334298">
      <w:pPr>
        <w:tabs>
          <w:tab w:val="left" w:pos="4164"/>
        </w:tabs>
        <w:jc w:val="center"/>
        <w:rPr>
          <w:b/>
          <w:bCs/>
          <w:u w:val="single"/>
        </w:rPr>
      </w:pPr>
      <w:r w:rsidRPr="00AE1F3A">
        <w:rPr>
          <w:b/>
          <w:bCs/>
          <w:u w:val="single"/>
        </w:rPr>
        <w:t>INSTRUCTION MANUAL</w:t>
      </w:r>
    </w:p>
    <w:p w14:paraId="248F1CEB"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1551DD1" w14:textId="77777777" w:rsidR="00334298" w:rsidRDefault="00334298" w:rsidP="002E41AA">
      <w:pPr>
        <w:pStyle w:val="ListParagraph"/>
        <w:numPr>
          <w:ilvl w:val="0"/>
          <w:numId w:val="1"/>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5965A87A" w14:textId="77777777" w:rsidR="00334298" w:rsidRDefault="00334298" w:rsidP="002E41AA">
      <w:pPr>
        <w:pStyle w:val="ListParagraph"/>
        <w:numPr>
          <w:ilvl w:val="1"/>
          <w:numId w:val="1"/>
        </w:numPr>
        <w:spacing w:before="0" w:after="160" w:line="259" w:lineRule="auto"/>
        <w:rPr>
          <w:b/>
          <w:bCs/>
        </w:rPr>
      </w:pPr>
      <w:r>
        <w:rPr>
          <w:b/>
          <w:bCs/>
        </w:rPr>
        <w:t>Employee Code of Conduct</w:t>
      </w:r>
    </w:p>
    <w:p w14:paraId="2BFD2A16" w14:textId="77777777" w:rsidR="00334298" w:rsidRDefault="00334298" w:rsidP="002E41AA">
      <w:pPr>
        <w:pStyle w:val="ListParagraph"/>
        <w:numPr>
          <w:ilvl w:val="1"/>
          <w:numId w:val="1"/>
        </w:numPr>
        <w:spacing w:before="0" w:after="160" w:line="259" w:lineRule="auto"/>
        <w:rPr>
          <w:b/>
          <w:bCs/>
        </w:rPr>
      </w:pPr>
      <w:r>
        <w:rPr>
          <w:b/>
          <w:bCs/>
        </w:rPr>
        <w:t>Suppliers Code of Conduct</w:t>
      </w:r>
    </w:p>
    <w:p w14:paraId="2A4458B3" w14:textId="77777777" w:rsidR="00334298" w:rsidRDefault="00334298" w:rsidP="002E41AA">
      <w:pPr>
        <w:pStyle w:val="ListParagraph"/>
        <w:numPr>
          <w:ilvl w:val="1"/>
          <w:numId w:val="1"/>
        </w:numPr>
        <w:spacing w:before="0" w:after="160" w:line="259" w:lineRule="auto"/>
        <w:rPr>
          <w:b/>
          <w:bCs/>
        </w:rPr>
      </w:pPr>
      <w:r>
        <w:rPr>
          <w:b/>
          <w:bCs/>
        </w:rPr>
        <w:t>Anti-corruption &amp; anti-bribery policy</w:t>
      </w:r>
    </w:p>
    <w:p w14:paraId="1B0B822D" w14:textId="77777777" w:rsidR="00334298" w:rsidRDefault="00334298" w:rsidP="002E41AA">
      <w:pPr>
        <w:pStyle w:val="ListParagraph"/>
        <w:numPr>
          <w:ilvl w:val="1"/>
          <w:numId w:val="1"/>
        </w:numPr>
        <w:spacing w:before="0" w:after="160" w:line="259" w:lineRule="auto"/>
        <w:rPr>
          <w:b/>
          <w:bCs/>
        </w:rPr>
      </w:pPr>
      <w:r>
        <w:rPr>
          <w:b/>
          <w:bCs/>
        </w:rPr>
        <w:t>Anti-discrimination policy</w:t>
      </w:r>
    </w:p>
    <w:p w14:paraId="238DC633" w14:textId="77777777" w:rsidR="00334298" w:rsidRDefault="00334298" w:rsidP="002E41AA">
      <w:pPr>
        <w:pStyle w:val="ListParagraph"/>
        <w:numPr>
          <w:ilvl w:val="1"/>
          <w:numId w:val="1"/>
        </w:numPr>
        <w:spacing w:before="0" w:after="160" w:line="259" w:lineRule="auto"/>
        <w:rPr>
          <w:b/>
          <w:bCs/>
        </w:rPr>
      </w:pPr>
      <w:r>
        <w:rPr>
          <w:b/>
          <w:bCs/>
        </w:rPr>
        <w:t>Whistleblowing policy</w:t>
      </w:r>
    </w:p>
    <w:p w14:paraId="10F961CE" w14:textId="77777777" w:rsidR="00334298" w:rsidRDefault="00334298" w:rsidP="002E41AA">
      <w:pPr>
        <w:pStyle w:val="ListParagraph"/>
        <w:numPr>
          <w:ilvl w:val="1"/>
          <w:numId w:val="1"/>
        </w:numPr>
        <w:spacing w:before="0" w:after="160" w:line="259" w:lineRule="auto"/>
        <w:rPr>
          <w:b/>
          <w:bCs/>
        </w:rPr>
      </w:pPr>
      <w:r>
        <w:rPr>
          <w:b/>
          <w:bCs/>
        </w:rPr>
        <w:t>Privacy policy</w:t>
      </w:r>
    </w:p>
    <w:p w14:paraId="4A29D60E" w14:textId="77777777" w:rsidR="00334298" w:rsidRDefault="00334298" w:rsidP="002E41AA">
      <w:pPr>
        <w:pStyle w:val="ListParagraph"/>
        <w:numPr>
          <w:ilvl w:val="1"/>
          <w:numId w:val="1"/>
        </w:numPr>
        <w:spacing w:before="0" w:after="160" w:line="259" w:lineRule="auto"/>
        <w:rPr>
          <w:b/>
          <w:bCs/>
        </w:rPr>
      </w:pPr>
      <w:r>
        <w:rPr>
          <w:b/>
          <w:bCs/>
        </w:rPr>
        <w:t>Health &amp; safety policy</w:t>
      </w:r>
    </w:p>
    <w:p w14:paraId="4205B618" w14:textId="77777777" w:rsidR="00334298" w:rsidRPr="005A7EDA" w:rsidRDefault="00334298" w:rsidP="002E41AA">
      <w:pPr>
        <w:pStyle w:val="ListParagraph"/>
        <w:numPr>
          <w:ilvl w:val="1"/>
          <w:numId w:val="1"/>
        </w:numPr>
        <w:spacing w:before="0" w:after="160" w:line="259" w:lineRule="auto"/>
        <w:rPr>
          <w:b/>
          <w:bCs/>
        </w:rPr>
      </w:pPr>
      <w:r>
        <w:rPr>
          <w:b/>
          <w:bCs/>
        </w:rPr>
        <w:t>Environmental policy</w:t>
      </w:r>
    </w:p>
    <w:p w14:paraId="70279CD8" w14:textId="77777777" w:rsidR="00334298" w:rsidRPr="005A7EDA" w:rsidRDefault="00334298" w:rsidP="002E41AA">
      <w:pPr>
        <w:pStyle w:val="ListParagraph"/>
        <w:numPr>
          <w:ilvl w:val="0"/>
          <w:numId w:val="1"/>
        </w:numPr>
        <w:spacing w:before="0" w:after="160" w:line="259" w:lineRule="auto"/>
        <w:rPr>
          <w:b/>
          <w:bCs/>
        </w:rPr>
      </w:pPr>
      <w:r w:rsidRPr="005A7EDA">
        <w:rPr>
          <w:b/>
          <w:bCs/>
        </w:rPr>
        <w:t>Fields marked in yellow are cross-references to templates with other topics in the BVA ESG template set.</w:t>
      </w:r>
    </w:p>
    <w:p w14:paraId="3AB8FA6A" w14:textId="77777777" w:rsidR="00334298" w:rsidRPr="005A7EDA" w:rsidRDefault="00334298" w:rsidP="002E41AA">
      <w:pPr>
        <w:pStyle w:val="ListParagraph"/>
        <w:numPr>
          <w:ilvl w:val="0"/>
          <w:numId w:val="1"/>
        </w:numPr>
        <w:spacing w:before="0" w:after="160" w:line="259" w:lineRule="auto"/>
        <w:rPr>
          <w:b/>
          <w:bCs/>
        </w:rPr>
      </w:pPr>
      <w:r w:rsidRPr="005A7EDA">
        <w:rPr>
          <w:b/>
          <w:bCs/>
        </w:rPr>
        <w:t xml:space="preserve">Fields marked in green require policy discretion from the portfolio company. </w:t>
      </w:r>
    </w:p>
    <w:p w14:paraId="1A29B028" w14:textId="77777777" w:rsidR="003F381A" w:rsidRPr="003F381A" w:rsidRDefault="009E726E" w:rsidP="003F381A">
      <w:pPr>
        <w:jc w:val="center"/>
        <w:rPr>
          <w:rFonts w:ascii="Formular" w:hAnsi="Formular"/>
          <w:b/>
          <w:bCs/>
          <w:sz w:val="28"/>
          <w:szCs w:val="28"/>
        </w:rPr>
      </w:pPr>
      <w:r>
        <w:br w:type="page"/>
      </w:r>
      <w:r w:rsidR="003F381A" w:rsidRPr="003F381A">
        <w:rPr>
          <w:rFonts w:ascii="Formular" w:hAnsi="Formular"/>
          <w:b/>
          <w:bCs/>
          <w:sz w:val="28"/>
          <w:szCs w:val="28"/>
        </w:rPr>
        <w:lastRenderedPageBreak/>
        <w:t>Whistleblowing Policy</w:t>
      </w:r>
    </w:p>
    <w:p w14:paraId="4C57C094" w14:textId="77777777" w:rsidR="003F381A" w:rsidRPr="003F381A" w:rsidRDefault="003F381A" w:rsidP="003F381A">
      <w:pPr>
        <w:rPr>
          <w:rFonts w:ascii="Suisse Intl" w:hAnsi="Suisse Intl" w:cs="Suisse Intl" w:hint="cs"/>
        </w:rPr>
      </w:pPr>
      <w:r w:rsidRPr="003F381A">
        <w:rPr>
          <w:rFonts w:ascii="Suisse Intl" w:hAnsi="Suisse Intl" w:cs="Suisse Intl" w:hint="cs"/>
        </w:rPr>
        <w:t>[</w:t>
      </w:r>
      <w:r w:rsidRPr="003F381A">
        <w:rPr>
          <w:rFonts w:ascii="Suisse Intl" w:hAnsi="Suisse Intl" w:cs="Suisse Intl" w:hint="cs"/>
          <w:i/>
          <w:iCs/>
          <w:color w:val="FF0000"/>
        </w:rPr>
        <w:t>Portfolio company</w:t>
      </w:r>
      <w:r w:rsidRPr="003F381A">
        <w:rPr>
          <w:rFonts w:ascii="Suisse Intl" w:hAnsi="Suisse Intl" w:cs="Suisse Intl" w:hint="cs"/>
        </w:rPr>
        <w:t xml:space="preserve">] (the </w:t>
      </w:r>
      <w:r w:rsidRPr="003F381A">
        <w:rPr>
          <w:rFonts w:ascii="Suisse Intl" w:hAnsi="Suisse Intl" w:cs="Suisse Intl" w:hint="cs"/>
          <w:b/>
          <w:bCs/>
        </w:rPr>
        <w:t>Company</w:t>
      </w:r>
      <w:r w:rsidRPr="003F381A">
        <w:rPr>
          <w:rFonts w:ascii="Suisse Intl" w:hAnsi="Suisse Intl" w:cs="Suisse Intl" w:hint="cs"/>
        </w:rPr>
        <w:t xml:space="preserve">) requires its staff members to observe high standards of business and personal ethics in the conduct of their duties and responsibilities, including compliance with all applicable laws and regulations. </w:t>
      </w:r>
    </w:p>
    <w:p w14:paraId="5D83C3A2" w14:textId="2DD298C7" w:rsidR="003F381A" w:rsidRPr="003F381A" w:rsidRDefault="003F381A" w:rsidP="003F381A">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3F381A">
        <w:rPr>
          <w:rFonts w:ascii="Suisse Intl" w:hAnsi="Suisse Intl" w:cs="Suisse Intl" w:hint="cs"/>
          <w:b/>
          <w:bCs/>
        </w:rPr>
        <w:t>All individuals must be able to report concerns of illegal and/or unethical behav</w:t>
      </w:r>
      <w:r w:rsidR="00B35E06">
        <w:rPr>
          <w:rFonts w:ascii="Suisse Intl" w:hAnsi="Suisse Intl" w:cs="Suisse Intl" w:hint="cs"/>
          <w:b/>
          <w:bCs/>
        </w:rPr>
        <w:t>iour</w:t>
      </w:r>
      <w:r w:rsidRPr="003F381A">
        <w:rPr>
          <w:rFonts w:ascii="Suisse Intl" w:hAnsi="Suisse Intl" w:cs="Suisse Intl" w:hint="cs"/>
          <w:b/>
          <w:bCs/>
        </w:rPr>
        <w:t xml:space="preserve"> without fear of retaliation.</w:t>
      </w:r>
    </w:p>
    <w:p w14:paraId="22F4FDD6" w14:textId="59A744AA" w:rsidR="003F381A" w:rsidRPr="003F381A" w:rsidRDefault="003F381A" w:rsidP="003F381A">
      <w:pPr>
        <w:rPr>
          <w:rFonts w:ascii="Suisse Intl" w:hAnsi="Suisse Intl" w:cs="Suisse Intl" w:hint="cs"/>
        </w:rPr>
      </w:pPr>
      <w:r w:rsidRPr="003F381A">
        <w:rPr>
          <w:rFonts w:ascii="Suisse Intl" w:hAnsi="Suisse Intl" w:cs="Suisse Intl" w:hint="cs"/>
        </w:rPr>
        <w:t xml:space="preserve">This Whistleblowing Policy (this </w:t>
      </w:r>
      <w:r w:rsidRPr="003F381A">
        <w:rPr>
          <w:rFonts w:ascii="Suisse Intl" w:hAnsi="Suisse Intl" w:cs="Suisse Intl" w:hint="cs"/>
          <w:b/>
          <w:bCs/>
        </w:rPr>
        <w:t>Policy</w:t>
      </w:r>
      <w:r w:rsidRPr="003F381A">
        <w:rPr>
          <w:rFonts w:ascii="Suisse Intl" w:hAnsi="Suisse Intl" w:cs="Suisse Intl" w:hint="cs"/>
        </w:rPr>
        <w:t>) sets out the procedures and guidance for employees and third parties, such as clients and suppliers, to confidentially report</w:t>
      </w:r>
      <w:r w:rsidRPr="003F381A">
        <w:rPr>
          <w:rFonts w:ascii="Suisse Intl" w:hAnsi="Suisse Intl" w:cs="Suisse Intl" w:hint="cs"/>
          <w:i/>
          <w:iCs/>
        </w:rPr>
        <w:t xml:space="preserve"> bona fide</w:t>
      </w:r>
      <w:r w:rsidRPr="003F381A">
        <w:rPr>
          <w:rFonts w:ascii="Suisse Intl" w:hAnsi="Suisse Intl" w:cs="Suisse Intl" w:hint="cs"/>
        </w:rPr>
        <w:t xml:space="preserve"> concerns of illegal or unethical behavio</w:t>
      </w:r>
      <w:r w:rsidR="00B35E06">
        <w:rPr>
          <w:rFonts w:ascii="Suisse Intl" w:hAnsi="Suisse Intl" w:cs="Suisse Intl"/>
        </w:rPr>
        <w:t>u</w:t>
      </w:r>
      <w:r w:rsidRPr="003F381A">
        <w:rPr>
          <w:rFonts w:ascii="Suisse Intl" w:hAnsi="Suisse Intl" w:cs="Suisse Intl" w:hint="cs"/>
        </w:rPr>
        <w:t>r by employees in a responsible and effective manner. It provides guidance on how such concerns should be addressed outside of the normal hierarchical channels, while also offering protection to the person notifying the concerns from direct or indirect disciplinary measures or retaliation.</w:t>
      </w:r>
    </w:p>
    <w:tbl>
      <w:tblPr>
        <w:tblStyle w:val="TableGrid"/>
        <w:tblW w:w="0" w:type="auto"/>
        <w:tblLook w:val="04A0" w:firstRow="1" w:lastRow="0" w:firstColumn="1" w:lastColumn="0" w:noHBand="0" w:noVBand="1"/>
      </w:tblPr>
      <w:tblGrid>
        <w:gridCol w:w="6986"/>
        <w:gridCol w:w="2074"/>
      </w:tblGrid>
      <w:tr w:rsidR="003F381A" w:rsidRPr="003F381A" w14:paraId="67CD0AAF" w14:textId="77777777" w:rsidTr="008753A1">
        <w:tc>
          <w:tcPr>
            <w:tcW w:w="7225" w:type="dxa"/>
            <w:shd w:val="clear" w:color="auto" w:fill="auto"/>
          </w:tcPr>
          <w:p w14:paraId="2BBAC85F" w14:textId="77777777" w:rsidR="003F381A" w:rsidRPr="003F381A" w:rsidRDefault="003F381A" w:rsidP="008753A1">
            <w:pPr>
              <w:tabs>
                <w:tab w:val="center" w:pos="4513"/>
                <w:tab w:val="right" w:pos="9026"/>
              </w:tabs>
              <w:rPr>
                <w:rFonts w:ascii="Suisse Intl" w:hAnsi="Suisse Intl" w:cs="Suisse Intl" w:hint="cs"/>
              </w:rPr>
            </w:pPr>
            <w:bookmarkStart w:id="0" w:name="_Hlk154572832"/>
            <w:r w:rsidRPr="003F381A">
              <w:rPr>
                <w:rFonts w:ascii="Suisse Intl" w:hAnsi="Suisse Intl" w:cs="Suisse Intl" w:hint="cs"/>
              </w:rPr>
              <w:t xml:space="preserve">To which persons </w:t>
            </w:r>
            <w:proofErr w:type="gramStart"/>
            <w:r w:rsidRPr="003F381A">
              <w:rPr>
                <w:rFonts w:ascii="Suisse Intl" w:hAnsi="Suisse Intl" w:cs="Suisse Intl" w:hint="cs"/>
              </w:rPr>
              <w:t>does</w:t>
            </w:r>
            <w:proofErr w:type="gramEnd"/>
            <w:r w:rsidRPr="003F381A">
              <w:rPr>
                <w:rFonts w:ascii="Suisse Intl" w:hAnsi="Suisse Intl" w:cs="Suisse Intl" w:hint="cs"/>
              </w:rPr>
              <w:t xml:space="preserve"> this Policy apply?</w:t>
            </w:r>
          </w:p>
        </w:tc>
        <w:tc>
          <w:tcPr>
            <w:tcW w:w="2125" w:type="dxa"/>
            <w:shd w:val="clear" w:color="auto" w:fill="auto"/>
          </w:tcPr>
          <w:p w14:paraId="37A59EE2" w14:textId="77777777"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 xml:space="preserve">See section </w:t>
            </w:r>
            <w:r w:rsidRPr="003F381A">
              <w:rPr>
                <w:rFonts w:ascii="Suisse Intl" w:hAnsi="Suisse Intl" w:cs="Suisse Intl" w:hint="cs"/>
              </w:rPr>
              <w:fldChar w:fldCharType="begin"/>
            </w:r>
            <w:r w:rsidRPr="003F381A">
              <w:rPr>
                <w:rFonts w:ascii="Suisse Intl" w:hAnsi="Suisse Intl" w:cs="Suisse Intl" w:hint="cs"/>
              </w:rPr>
              <w:instrText xml:space="preserve"> REF _Ref154566124 \r \h  \* MERGEFORMAT </w:instrText>
            </w:r>
            <w:r w:rsidRPr="003F381A">
              <w:rPr>
                <w:rFonts w:ascii="Suisse Intl" w:hAnsi="Suisse Intl" w:cs="Suisse Intl" w:hint="cs"/>
              </w:rPr>
            </w:r>
            <w:r w:rsidRPr="003F381A">
              <w:rPr>
                <w:rFonts w:ascii="Suisse Intl" w:hAnsi="Suisse Intl" w:cs="Suisse Intl" w:hint="cs"/>
              </w:rPr>
              <w:fldChar w:fldCharType="separate"/>
            </w:r>
            <w:r w:rsidRPr="003F381A">
              <w:rPr>
                <w:rFonts w:ascii="Suisse Intl" w:hAnsi="Suisse Intl" w:cs="Suisse Intl" w:hint="cs"/>
              </w:rPr>
              <w:t>1</w:t>
            </w:r>
            <w:r w:rsidRPr="003F381A">
              <w:rPr>
                <w:rFonts w:ascii="Suisse Intl" w:hAnsi="Suisse Intl" w:cs="Suisse Intl" w:hint="cs"/>
              </w:rPr>
              <w:fldChar w:fldCharType="end"/>
            </w:r>
          </w:p>
        </w:tc>
      </w:tr>
      <w:tr w:rsidR="003F381A" w:rsidRPr="003F381A" w14:paraId="46999532" w14:textId="77777777" w:rsidTr="008753A1">
        <w:tc>
          <w:tcPr>
            <w:tcW w:w="7225" w:type="dxa"/>
            <w:shd w:val="clear" w:color="auto" w:fill="auto"/>
          </w:tcPr>
          <w:p w14:paraId="401FB976" w14:textId="77777777"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What is whistleblowing and what are examples of whistleblowing?</w:t>
            </w:r>
          </w:p>
        </w:tc>
        <w:tc>
          <w:tcPr>
            <w:tcW w:w="2125" w:type="dxa"/>
            <w:shd w:val="clear" w:color="auto" w:fill="auto"/>
          </w:tcPr>
          <w:p w14:paraId="1C1AAE33" w14:textId="62860B76"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 xml:space="preserve">See section </w:t>
            </w:r>
            <w:r w:rsidRPr="003F381A">
              <w:rPr>
                <w:rFonts w:ascii="Suisse Intl" w:hAnsi="Suisse Intl" w:cs="Suisse Intl" w:hint="cs"/>
              </w:rPr>
              <w:fldChar w:fldCharType="begin"/>
            </w:r>
            <w:r w:rsidRPr="003F381A">
              <w:rPr>
                <w:rFonts w:ascii="Suisse Intl" w:hAnsi="Suisse Intl" w:cs="Suisse Intl" w:hint="cs"/>
              </w:rPr>
              <w:instrText xml:space="preserve"> REF _Ref154585724 \r \h </w:instrText>
            </w:r>
            <w:r w:rsidRPr="003F381A">
              <w:rPr>
                <w:rFonts w:ascii="Suisse Intl" w:hAnsi="Suisse Intl" w:cs="Suisse Intl" w:hint="cs"/>
              </w:rPr>
            </w:r>
            <w:r>
              <w:rPr>
                <w:rFonts w:ascii="Suisse Intl" w:hAnsi="Suisse Intl" w:cs="Suisse Intl"/>
              </w:rPr>
              <w:instrText xml:space="preserve"> \* MERGEFORMAT </w:instrText>
            </w:r>
            <w:r w:rsidRPr="003F381A">
              <w:rPr>
                <w:rFonts w:ascii="Suisse Intl" w:hAnsi="Suisse Intl" w:cs="Suisse Intl" w:hint="cs"/>
              </w:rPr>
              <w:fldChar w:fldCharType="separate"/>
            </w:r>
            <w:r w:rsidRPr="003F381A">
              <w:rPr>
                <w:rFonts w:ascii="Suisse Intl" w:hAnsi="Suisse Intl" w:cs="Suisse Intl" w:hint="cs"/>
              </w:rPr>
              <w:t>2</w:t>
            </w:r>
            <w:r w:rsidRPr="003F381A">
              <w:rPr>
                <w:rFonts w:ascii="Suisse Intl" w:hAnsi="Suisse Intl" w:cs="Suisse Intl" w:hint="cs"/>
              </w:rPr>
              <w:fldChar w:fldCharType="end"/>
            </w:r>
          </w:p>
        </w:tc>
      </w:tr>
      <w:tr w:rsidR="003F381A" w:rsidRPr="003F381A" w14:paraId="018EDD17" w14:textId="77777777" w:rsidTr="008753A1">
        <w:tc>
          <w:tcPr>
            <w:tcW w:w="7225" w:type="dxa"/>
            <w:shd w:val="clear" w:color="auto" w:fill="auto"/>
          </w:tcPr>
          <w:p w14:paraId="0CFD81A0" w14:textId="77777777"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In what manner must reports take place and how are they addressed once they are lodged?</w:t>
            </w:r>
          </w:p>
        </w:tc>
        <w:tc>
          <w:tcPr>
            <w:tcW w:w="2125" w:type="dxa"/>
            <w:shd w:val="clear" w:color="auto" w:fill="auto"/>
          </w:tcPr>
          <w:p w14:paraId="74627E29" w14:textId="4B729618"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 xml:space="preserve">See section </w:t>
            </w:r>
            <w:r w:rsidRPr="003F381A">
              <w:rPr>
                <w:rFonts w:ascii="Suisse Intl" w:hAnsi="Suisse Intl" w:cs="Suisse Intl" w:hint="cs"/>
              </w:rPr>
              <w:fldChar w:fldCharType="begin"/>
            </w:r>
            <w:r w:rsidRPr="003F381A">
              <w:rPr>
                <w:rFonts w:ascii="Suisse Intl" w:hAnsi="Suisse Intl" w:cs="Suisse Intl" w:hint="cs"/>
              </w:rPr>
              <w:instrText xml:space="preserve"> REF _Ref154585749 \r \h </w:instrText>
            </w:r>
            <w:r w:rsidRPr="003F381A">
              <w:rPr>
                <w:rFonts w:ascii="Suisse Intl" w:hAnsi="Suisse Intl" w:cs="Suisse Intl" w:hint="cs"/>
              </w:rPr>
            </w:r>
            <w:r>
              <w:rPr>
                <w:rFonts w:ascii="Suisse Intl" w:hAnsi="Suisse Intl" w:cs="Suisse Intl"/>
              </w:rPr>
              <w:instrText xml:space="preserve"> \* MERGEFORMAT </w:instrText>
            </w:r>
            <w:r w:rsidRPr="003F381A">
              <w:rPr>
                <w:rFonts w:ascii="Suisse Intl" w:hAnsi="Suisse Intl" w:cs="Suisse Intl" w:hint="cs"/>
              </w:rPr>
              <w:fldChar w:fldCharType="separate"/>
            </w:r>
            <w:r w:rsidRPr="003F381A">
              <w:rPr>
                <w:rFonts w:ascii="Suisse Intl" w:hAnsi="Suisse Intl" w:cs="Suisse Intl" w:hint="cs"/>
              </w:rPr>
              <w:t>3</w:t>
            </w:r>
            <w:r w:rsidRPr="003F381A">
              <w:rPr>
                <w:rFonts w:ascii="Suisse Intl" w:hAnsi="Suisse Intl" w:cs="Suisse Intl" w:hint="cs"/>
              </w:rPr>
              <w:fldChar w:fldCharType="end"/>
            </w:r>
          </w:p>
        </w:tc>
      </w:tr>
      <w:tr w:rsidR="003F381A" w:rsidRPr="003F381A" w14:paraId="0E7FD0A3" w14:textId="77777777" w:rsidTr="008753A1">
        <w:tc>
          <w:tcPr>
            <w:tcW w:w="7225" w:type="dxa"/>
            <w:shd w:val="clear" w:color="auto" w:fill="auto"/>
          </w:tcPr>
          <w:p w14:paraId="60C467F0" w14:textId="77777777"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In what way is retaliation prevented?</w:t>
            </w:r>
          </w:p>
        </w:tc>
        <w:tc>
          <w:tcPr>
            <w:tcW w:w="2125" w:type="dxa"/>
            <w:shd w:val="clear" w:color="auto" w:fill="auto"/>
          </w:tcPr>
          <w:p w14:paraId="69D43EF3" w14:textId="05F4E399" w:rsidR="003F381A" w:rsidRPr="003F381A" w:rsidRDefault="003F381A" w:rsidP="008753A1">
            <w:pPr>
              <w:tabs>
                <w:tab w:val="center" w:pos="4513"/>
                <w:tab w:val="right" w:pos="9026"/>
              </w:tabs>
              <w:rPr>
                <w:rFonts w:ascii="Suisse Intl" w:hAnsi="Suisse Intl" w:cs="Suisse Intl" w:hint="cs"/>
              </w:rPr>
            </w:pPr>
            <w:r w:rsidRPr="003F381A">
              <w:rPr>
                <w:rFonts w:ascii="Suisse Intl" w:hAnsi="Suisse Intl" w:cs="Suisse Intl" w:hint="cs"/>
              </w:rPr>
              <w:t xml:space="preserve">See section </w:t>
            </w:r>
            <w:r w:rsidRPr="003F381A">
              <w:rPr>
                <w:rFonts w:ascii="Suisse Intl" w:hAnsi="Suisse Intl" w:cs="Suisse Intl" w:hint="cs"/>
              </w:rPr>
              <w:fldChar w:fldCharType="begin"/>
            </w:r>
            <w:r w:rsidRPr="003F381A">
              <w:rPr>
                <w:rFonts w:ascii="Suisse Intl" w:hAnsi="Suisse Intl" w:cs="Suisse Intl" w:hint="cs"/>
              </w:rPr>
              <w:instrText xml:space="preserve"> REF _Ref154585759 \r \h </w:instrText>
            </w:r>
            <w:r w:rsidRPr="003F381A">
              <w:rPr>
                <w:rFonts w:ascii="Suisse Intl" w:hAnsi="Suisse Intl" w:cs="Suisse Intl" w:hint="cs"/>
              </w:rPr>
            </w:r>
            <w:r>
              <w:rPr>
                <w:rFonts w:ascii="Suisse Intl" w:hAnsi="Suisse Intl" w:cs="Suisse Intl"/>
              </w:rPr>
              <w:instrText xml:space="preserve"> \* MERGEFORMAT </w:instrText>
            </w:r>
            <w:r w:rsidRPr="003F381A">
              <w:rPr>
                <w:rFonts w:ascii="Suisse Intl" w:hAnsi="Suisse Intl" w:cs="Suisse Intl" w:hint="cs"/>
              </w:rPr>
              <w:fldChar w:fldCharType="separate"/>
            </w:r>
            <w:r w:rsidRPr="003F381A">
              <w:rPr>
                <w:rFonts w:ascii="Suisse Intl" w:hAnsi="Suisse Intl" w:cs="Suisse Intl" w:hint="cs"/>
              </w:rPr>
              <w:t>4</w:t>
            </w:r>
            <w:r w:rsidRPr="003F381A">
              <w:rPr>
                <w:rFonts w:ascii="Suisse Intl" w:hAnsi="Suisse Intl" w:cs="Suisse Intl" w:hint="cs"/>
              </w:rPr>
              <w:fldChar w:fldCharType="end"/>
            </w:r>
          </w:p>
        </w:tc>
      </w:tr>
      <w:bookmarkEnd w:id="0"/>
    </w:tbl>
    <w:p w14:paraId="5873C751" w14:textId="77777777" w:rsidR="003F381A" w:rsidRPr="003F381A" w:rsidRDefault="003F381A" w:rsidP="003F381A">
      <w:pPr>
        <w:rPr>
          <w:rFonts w:ascii="Suisse Intl" w:hAnsi="Suisse Intl" w:cs="Suisse Intl" w:hint="cs"/>
        </w:rPr>
      </w:pPr>
    </w:p>
    <w:p w14:paraId="6CB260EA" w14:textId="77777777" w:rsidR="003F381A" w:rsidRPr="003F381A" w:rsidRDefault="003F381A" w:rsidP="003F381A">
      <w:pPr>
        <w:pStyle w:val="ListParagraph"/>
        <w:numPr>
          <w:ilvl w:val="0"/>
          <w:numId w:val="15"/>
        </w:numPr>
        <w:spacing w:before="0" w:after="160" w:line="259" w:lineRule="auto"/>
        <w:rPr>
          <w:rFonts w:ascii="Suisse Intl" w:hAnsi="Suisse Intl" w:cs="Suisse Intl" w:hint="cs"/>
          <w:b/>
          <w:bCs/>
          <w:color w:val="595959" w:themeColor="text1" w:themeTint="A6"/>
          <w:sz w:val="24"/>
          <w:szCs w:val="24"/>
        </w:rPr>
      </w:pPr>
      <w:r w:rsidRPr="003F381A">
        <w:rPr>
          <w:rFonts w:ascii="Suisse Intl" w:hAnsi="Suisse Intl" w:cs="Suisse Intl" w:hint="cs"/>
          <w:b/>
          <w:bCs/>
          <w:color w:val="595959" w:themeColor="text1" w:themeTint="A6"/>
          <w:sz w:val="24"/>
          <w:szCs w:val="24"/>
        </w:rPr>
        <w:t xml:space="preserve">Scope </w:t>
      </w:r>
    </w:p>
    <w:p w14:paraId="123CDFD4" w14:textId="77777777" w:rsidR="003F381A" w:rsidRPr="003F381A" w:rsidRDefault="003F381A" w:rsidP="003F381A">
      <w:pPr>
        <w:rPr>
          <w:rFonts w:ascii="Suisse Intl" w:hAnsi="Suisse Intl" w:cs="Suisse Intl" w:hint="cs"/>
        </w:rPr>
      </w:pPr>
      <w:r w:rsidRPr="003F381A">
        <w:rPr>
          <w:rFonts w:ascii="Suisse Intl" w:hAnsi="Suisse Intl" w:cs="Suisse Intl" w:hint="cs"/>
        </w:rPr>
        <w:t>This Policy applies to all staff members and other stakeholders of the Company.</w:t>
      </w:r>
    </w:p>
    <w:p w14:paraId="3C1DD079" w14:textId="77777777" w:rsidR="003F381A" w:rsidRPr="003F381A" w:rsidRDefault="003F381A" w:rsidP="003F381A">
      <w:pPr>
        <w:rPr>
          <w:rFonts w:ascii="Suisse Intl" w:hAnsi="Suisse Intl" w:cs="Suisse Intl" w:hint="cs"/>
        </w:rPr>
      </w:pPr>
    </w:p>
    <w:p w14:paraId="4463945E" w14:textId="77777777" w:rsidR="003F381A" w:rsidRPr="003F381A" w:rsidRDefault="003F381A" w:rsidP="003F381A">
      <w:pPr>
        <w:pStyle w:val="ListParagraph"/>
        <w:numPr>
          <w:ilvl w:val="0"/>
          <w:numId w:val="15"/>
        </w:numPr>
        <w:spacing w:before="0" w:after="160" w:line="259" w:lineRule="auto"/>
        <w:rPr>
          <w:rFonts w:ascii="Suisse Intl" w:hAnsi="Suisse Intl" w:cs="Suisse Intl" w:hint="cs"/>
          <w:b/>
          <w:bCs/>
          <w:color w:val="595959" w:themeColor="text1" w:themeTint="A6"/>
          <w:sz w:val="24"/>
          <w:szCs w:val="24"/>
        </w:rPr>
      </w:pPr>
      <w:bookmarkStart w:id="1" w:name="_Ref154585724"/>
      <w:r w:rsidRPr="003F381A">
        <w:rPr>
          <w:rFonts w:ascii="Suisse Intl" w:hAnsi="Suisse Intl" w:cs="Suisse Intl" w:hint="cs"/>
          <w:b/>
          <w:bCs/>
          <w:color w:val="595959" w:themeColor="text1" w:themeTint="A6"/>
          <w:sz w:val="24"/>
          <w:szCs w:val="24"/>
        </w:rPr>
        <w:t>Definition of Whistleblowing and examples</w:t>
      </w:r>
      <w:bookmarkEnd w:id="1"/>
    </w:p>
    <w:p w14:paraId="3B3FB782" w14:textId="49AA5F0F" w:rsidR="003F381A" w:rsidRPr="003F381A" w:rsidRDefault="003F381A" w:rsidP="003F381A">
      <w:pPr>
        <w:rPr>
          <w:rFonts w:ascii="Suisse Intl" w:hAnsi="Suisse Intl" w:cs="Suisse Intl" w:hint="cs"/>
        </w:rPr>
      </w:pPr>
      <w:r w:rsidRPr="003F381A">
        <w:rPr>
          <w:rFonts w:ascii="Suisse Intl" w:hAnsi="Suisse Intl" w:cs="Suisse Intl" w:hint="cs"/>
        </w:rPr>
        <w:t>Whistleblowing is the act of reporting any observed or suspected misconduct, unethical behav</w:t>
      </w:r>
      <w:r w:rsidR="00B35E06">
        <w:rPr>
          <w:rFonts w:ascii="Suisse Intl" w:hAnsi="Suisse Intl" w:cs="Suisse Intl" w:hint="cs"/>
        </w:rPr>
        <w:t>iour</w:t>
      </w:r>
      <w:r w:rsidRPr="003F381A">
        <w:rPr>
          <w:rFonts w:ascii="Suisse Intl" w:hAnsi="Suisse Intl" w:cs="Suisse Intl" w:hint="cs"/>
        </w:rPr>
        <w:t xml:space="preserve">, or violations of Company policies and/or applicable rules and regulations. It is a vital mechanism that empowers individuals to speak up when they witness actions that go against the principles and values of the Company. </w:t>
      </w:r>
    </w:p>
    <w:p w14:paraId="166FDC82" w14:textId="77777777" w:rsidR="003F381A" w:rsidRPr="003F381A" w:rsidRDefault="003F381A" w:rsidP="003F381A">
      <w:pPr>
        <w:rPr>
          <w:rFonts w:ascii="Suisse Intl" w:hAnsi="Suisse Intl" w:cs="Suisse Intl" w:hint="cs"/>
        </w:rPr>
      </w:pPr>
      <w:r w:rsidRPr="003F381A">
        <w:rPr>
          <w:rFonts w:ascii="Suisse Intl" w:hAnsi="Suisse Intl" w:cs="Suisse Intl" w:hint="cs"/>
        </w:rPr>
        <w:t>Events that must be reported through whistleblowing should be limited to events which:</w:t>
      </w:r>
    </w:p>
    <w:p w14:paraId="5C6B1861" w14:textId="77777777" w:rsidR="003F381A" w:rsidRPr="003F381A" w:rsidRDefault="003F381A" w:rsidP="003F381A">
      <w:pPr>
        <w:pStyle w:val="ListParagraph"/>
        <w:numPr>
          <w:ilvl w:val="0"/>
          <w:numId w:val="16"/>
        </w:numPr>
        <w:spacing w:before="0" w:after="160" w:line="259" w:lineRule="auto"/>
        <w:rPr>
          <w:rFonts w:ascii="Suisse Intl" w:hAnsi="Suisse Intl" w:cs="Suisse Intl" w:hint="cs"/>
        </w:rPr>
      </w:pPr>
      <w:r w:rsidRPr="003F381A">
        <w:rPr>
          <w:rFonts w:ascii="Suisse Intl" w:hAnsi="Suisse Intl" w:cs="Suisse Intl" w:hint="cs"/>
        </w:rPr>
        <w:t xml:space="preserve">may have a significant impact on the Company; and </w:t>
      </w:r>
    </w:p>
    <w:p w14:paraId="13932113" w14:textId="77777777" w:rsidR="003F381A" w:rsidRPr="003F381A" w:rsidRDefault="003F381A" w:rsidP="003F381A">
      <w:pPr>
        <w:pStyle w:val="ListParagraph"/>
        <w:numPr>
          <w:ilvl w:val="0"/>
          <w:numId w:val="16"/>
        </w:numPr>
        <w:spacing w:before="0" w:after="160" w:line="259" w:lineRule="auto"/>
        <w:rPr>
          <w:rFonts w:ascii="Suisse Intl" w:hAnsi="Suisse Intl" w:cs="Suisse Intl" w:hint="cs"/>
        </w:rPr>
      </w:pPr>
      <w:r w:rsidRPr="003F381A">
        <w:rPr>
          <w:rFonts w:ascii="Suisse Intl" w:hAnsi="Suisse Intl" w:cs="Suisse Intl" w:hint="cs"/>
        </w:rPr>
        <w:t xml:space="preserve">which are of such nature that it is difficult, sensitive or impossible to report them through the traditional communication channels within the Company. </w:t>
      </w:r>
    </w:p>
    <w:p w14:paraId="0E689598" w14:textId="77777777" w:rsidR="003F381A" w:rsidRPr="003F381A" w:rsidRDefault="003F381A" w:rsidP="003F381A">
      <w:pPr>
        <w:rPr>
          <w:rFonts w:ascii="Suisse Intl" w:hAnsi="Suisse Intl" w:cs="Suisse Intl" w:hint="cs"/>
        </w:rPr>
      </w:pPr>
      <w:r w:rsidRPr="003F381A">
        <w:rPr>
          <w:rFonts w:ascii="Suisse Intl" w:hAnsi="Suisse Intl" w:cs="Suisse Intl" w:hint="cs"/>
        </w:rPr>
        <w:t xml:space="preserve">Reportable incidents may include, but are not limited to, financial fraud, safety violations, discrimination, harassment, environmental breaches, or any other actions that compromise the integrity and reputation of the Company or its business. </w:t>
      </w:r>
    </w:p>
    <w:p w14:paraId="5D3FAAD4" w14:textId="77777777" w:rsidR="003F381A" w:rsidRPr="003F381A" w:rsidRDefault="003F381A" w:rsidP="003F381A">
      <w:pPr>
        <w:rPr>
          <w:rFonts w:ascii="Suisse Intl" w:hAnsi="Suisse Intl" w:cs="Suisse Intl" w:hint="cs"/>
        </w:rPr>
      </w:pPr>
      <w:r w:rsidRPr="003F381A">
        <w:rPr>
          <w:rFonts w:ascii="Suisse Intl" w:hAnsi="Suisse Intl" w:cs="Suisse Intl" w:hint="cs"/>
        </w:rPr>
        <w:t>In considering whether certain conduct should be reported, the following questions could provide important guidance:</w:t>
      </w:r>
    </w:p>
    <w:p w14:paraId="6E897336" w14:textId="77777777" w:rsidR="003F381A" w:rsidRPr="003F381A" w:rsidRDefault="003F381A" w:rsidP="003F381A">
      <w:pPr>
        <w:pStyle w:val="ListParagraph"/>
        <w:numPr>
          <w:ilvl w:val="0"/>
          <w:numId w:val="13"/>
        </w:numPr>
        <w:spacing w:before="0" w:after="160" w:line="259" w:lineRule="auto"/>
        <w:rPr>
          <w:rFonts w:ascii="Suisse Intl" w:hAnsi="Suisse Intl" w:cs="Suisse Intl" w:hint="cs"/>
        </w:rPr>
      </w:pPr>
      <w:r w:rsidRPr="003F381A">
        <w:rPr>
          <w:rFonts w:ascii="Suisse Intl" w:hAnsi="Suisse Intl" w:cs="Suisse Intl" w:hint="cs"/>
        </w:rPr>
        <w:t>Could this conduct be viewed as dishonest, unethical or unlawful?</w:t>
      </w:r>
    </w:p>
    <w:p w14:paraId="2A15C38C" w14:textId="77777777" w:rsidR="003F381A" w:rsidRPr="003F381A" w:rsidRDefault="003F381A" w:rsidP="003F381A">
      <w:pPr>
        <w:pStyle w:val="ListParagraph"/>
        <w:numPr>
          <w:ilvl w:val="0"/>
          <w:numId w:val="13"/>
        </w:numPr>
        <w:spacing w:before="0" w:after="160" w:line="259" w:lineRule="auto"/>
        <w:rPr>
          <w:rFonts w:ascii="Suisse Intl" w:hAnsi="Suisse Intl" w:cs="Suisse Intl" w:hint="cs"/>
        </w:rPr>
      </w:pPr>
      <w:r w:rsidRPr="003F381A">
        <w:rPr>
          <w:rFonts w:ascii="Suisse Intl" w:hAnsi="Suisse Intl" w:cs="Suisse Intl" w:hint="cs"/>
        </w:rPr>
        <w:t xml:space="preserve">Could this conduct potentially impact the Company to a significant extent? </w:t>
      </w:r>
    </w:p>
    <w:p w14:paraId="1FFB9F1D" w14:textId="77777777" w:rsidR="003F381A" w:rsidRPr="003F381A" w:rsidRDefault="003F381A" w:rsidP="003F381A">
      <w:pPr>
        <w:pStyle w:val="ListParagraph"/>
        <w:numPr>
          <w:ilvl w:val="0"/>
          <w:numId w:val="13"/>
        </w:numPr>
        <w:spacing w:before="0" w:after="160" w:line="259" w:lineRule="auto"/>
        <w:rPr>
          <w:rFonts w:ascii="Suisse Intl" w:hAnsi="Suisse Intl" w:cs="Suisse Intl" w:hint="cs"/>
        </w:rPr>
      </w:pPr>
      <w:r w:rsidRPr="003F381A">
        <w:rPr>
          <w:rFonts w:ascii="Suisse Intl" w:hAnsi="Suisse Intl" w:cs="Suisse Intl" w:hint="cs"/>
        </w:rPr>
        <w:lastRenderedPageBreak/>
        <w:t>Could this conduct affect the Company’s reputation with its customers, business providers, employees or other stakeholders?</w:t>
      </w:r>
    </w:p>
    <w:p w14:paraId="1313D96E" w14:textId="77777777" w:rsidR="003F381A" w:rsidRPr="003F381A" w:rsidRDefault="003F381A" w:rsidP="003F381A">
      <w:pPr>
        <w:pStyle w:val="ListParagraph"/>
        <w:numPr>
          <w:ilvl w:val="0"/>
          <w:numId w:val="13"/>
        </w:numPr>
        <w:spacing w:before="0" w:after="160" w:line="259" w:lineRule="auto"/>
        <w:rPr>
          <w:rFonts w:ascii="Suisse Intl" w:hAnsi="Suisse Intl" w:cs="Suisse Intl" w:hint="cs"/>
        </w:rPr>
      </w:pPr>
      <w:r w:rsidRPr="003F381A">
        <w:rPr>
          <w:rFonts w:ascii="Suisse Intl" w:hAnsi="Suisse Intl" w:cs="Suisse Intl" w:hint="cs"/>
        </w:rPr>
        <w:t>Could this conduct hurt other people?</w:t>
      </w:r>
    </w:p>
    <w:p w14:paraId="7B8905C8" w14:textId="77777777" w:rsidR="003F381A" w:rsidRPr="003F381A" w:rsidRDefault="003F381A" w:rsidP="003F381A">
      <w:pPr>
        <w:rPr>
          <w:rFonts w:ascii="Suisse Intl" w:hAnsi="Suisse Intl" w:cs="Suisse Intl" w:hint="cs"/>
        </w:rPr>
      </w:pPr>
      <w:r w:rsidRPr="003F381A">
        <w:rPr>
          <w:rFonts w:ascii="Suisse Intl" w:hAnsi="Suisse Intl" w:cs="Suisse Intl" w:hint="cs"/>
        </w:rPr>
        <w:t>If the answer is ‘yes’ to any of these questions, the member of staff that is confronted with the specific conduct is required to report the violation as set out in this Policy.</w:t>
      </w:r>
    </w:p>
    <w:p w14:paraId="4892251D" w14:textId="77777777" w:rsidR="003F381A" w:rsidRPr="003F381A" w:rsidRDefault="003F381A" w:rsidP="003F381A">
      <w:pPr>
        <w:rPr>
          <w:rFonts w:ascii="Suisse Intl" w:hAnsi="Suisse Intl" w:cs="Suisse Intl" w:hint="cs"/>
        </w:rPr>
      </w:pPr>
    </w:p>
    <w:p w14:paraId="52AFCC08" w14:textId="77777777" w:rsidR="003F381A" w:rsidRPr="003F381A" w:rsidRDefault="003F381A" w:rsidP="003F381A">
      <w:pPr>
        <w:pStyle w:val="ListParagraph"/>
        <w:numPr>
          <w:ilvl w:val="0"/>
          <w:numId w:val="15"/>
        </w:numPr>
        <w:spacing w:before="0" w:after="160" w:line="259" w:lineRule="auto"/>
        <w:rPr>
          <w:rFonts w:ascii="Suisse Intl" w:hAnsi="Suisse Intl" w:cs="Suisse Intl" w:hint="cs"/>
          <w:b/>
          <w:bCs/>
          <w:color w:val="595959" w:themeColor="text1" w:themeTint="A6"/>
          <w:sz w:val="24"/>
          <w:szCs w:val="24"/>
        </w:rPr>
      </w:pPr>
      <w:bookmarkStart w:id="2" w:name="_Ref154585749"/>
      <w:r w:rsidRPr="003F381A">
        <w:rPr>
          <w:rFonts w:ascii="Suisse Intl" w:hAnsi="Suisse Intl" w:cs="Suisse Intl" w:hint="cs"/>
          <w:b/>
          <w:bCs/>
          <w:color w:val="595959" w:themeColor="text1" w:themeTint="A6"/>
          <w:sz w:val="24"/>
          <w:szCs w:val="24"/>
        </w:rPr>
        <w:t>Reporting and investigation</w:t>
      </w:r>
      <w:bookmarkEnd w:id="2"/>
    </w:p>
    <w:p w14:paraId="3D332AD8" w14:textId="77777777" w:rsidR="003F381A" w:rsidRPr="003F381A" w:rsidRDefault="003F381A" w:rsidP="003F381A">
      <w:pPr>
        <w:rPr>
          <w:rFonts w:ascii="Suisse Intl" w:hAnsi="Suisse Intl" w:cs="Suisse Intl" w:hint="cs"/>
        </w:rPr>
      </w:pPr>
      <w:r w:rsidRPr="003F381A">
        <w:rPr>
          <w:rFonts w:ascii="Suisse Intl" w:hAnsi="Suisse Intl" w:cs="Suisse Intl" w:hint="cs"/>
        </w:rPr>
        <w:t>All events amounting to general misconduct that must be reported through whistleblowing must be reported to [</w:t>
      </w:r>
      <w:r w:rsidRPr="003F381A">
        <w:rPr>
          <w:rFonts w:ascii="Suisse Intl" w:hAnsi="Suisse Intl" w:cs="Suisse Intl" w:hint="cs"/>
          <w:i/>
          <w:iCs/>
          <w:highlight w:val="green"/>
        </w:rPr>
        <w:t>please complete with relevant function, such as a confidential advisor or HR Officer or an external person engaged by the security/social service provider engaged the Company</w:t>
      </w:r>
      <w:r w:rsidRPr="003F381A">
        <w:rPr>
          <w:rFonts w:ascii="Suisse Intl" w:hAnsi="Suisse Intl" w:cs="Suisse Intl" w:hint="cs"/>
        </w:rPr>
        <w:t xml:space="preserve">] (the </w:t>
      </w:r>
      <w:r w:rsidRPr="003F381A">
        <w:rPr>
          <w:rFonts w:ascii="Suisse Intl" w:hAnsi="Suisse Intl" w:cs="Suisse Intl" w:hint="cs"/>
          <w:b/>
          <w:bCs/>
        </w:rPr>
        <w:t>Whistleblowing Officer</w:t>
      </w:r>
      <w:r w:rsidRPr="003F381A">
        <w:rPr>
          <w:rFonts w:ascii="Suisse Intl" w:hAnsi="Suisse Intl" w:cs="Suisse Intl" w:hint="cs"/>
        </w:rPr>
        <w:t xml:space="preserve">). He/she is the principal point of contact for all matters that are reported. </w:t>
      </w:r>
    </w:p>
    <w:p w14:paraId="6EFF756F" w14:textId="77777777" w:rsidR="003F381A" w:rsidRPr="003F381A" w:rsidRDefault="003F381A" w:rsidP="003F381A">
      <w:pPr>
        <w:rPr>
          <w:rFonts w:ascii="Suisse Intl" w:hAnsi="Suisse Intl" w:cs="Suisse Intl" w:hint="cs"/>
        </w:rPr>
      </w:pPr>
      <w:r w:rsidRPr="003F381A">
        <w:rPr>
          <w:rFonts w:ascii="Suisse Intl" w:hAnsi="Suisse Intl" w:cs="Suisse Intl" w:hint="cs"/>
        </w:rPr>
        <w:t>Upon communication of an event through the whistleblowing channel, the Whistleblowing Officer will:</w:t>
      </w:r>
    </w:p>
    <w:p w14:paraId="594922C7" w14:textId="77777777" w:rsidR="003F381A" w:rsidRPr="003F381A" w:rsidRDefault="003F381A" w:rsidP="003F381A">
      <w:pPr>
        <w:pStyle w:val="ListParagraph"/>
        <w:numPr>
          <w:ilvl w:val="0"/>
          <w:numId w:val="14"/>
        </w:numPr>
        <w:spacing w:before="0" w:after="160" w:line="259" w:lineRule="auto"/>
        <w:rPr>
          <w:rFonts w:ascii="Suisse Intl" w:hAnsi="Suisse Intl" w:cs="Suisse Intl" w:hint="cs"/>
        </w:rPr>
      </w:pPr>
      <w:r w:rsidRPr="003F381A">
        <w:rPr>
          <w:rFonts w:ascii="Suisse Intl" w:hAnsi="Suisse Intl" w:cs="Suisse Intl" w:hint="cs"/>
        </w:rPr>
        <w:t>investigate all reported instances thoroughly and respectfully;</w:t>
      </w:r>
    </w:p>
    <w:p w14:paraId="65C80515" w14:textId="77777777" w:rsidR="003F381A" w:rsidRPr="003F381A" w:rsidRDefault="003F381A" w:rsidP="003F381A">
      <w:pPr>
        <w:pStyle w:val="ListParagraph"/>
        <w:numPr>
          <w:ilvl w:val="0"/>
          <w:numId w:val="14"/>
        </w:numPr>
        <w:spacing w:before="0" w:after="160" w:line="259" w:lineRule="auto"/>
        <w:rPr>
          <w:rFonts w:ascii="Suisse Intl" w:hAnsi="Suisse Intl" w:cs="Suisse Intl" w:hint="cs"/>
        </w:rPr>
      </w:pPr>
      <w:r w:rsidRPr="003F381A">
        <w:rPr>
          <w:rFonts w:ascii="Suisse Intl" w:hAnsi="Suisse Intl" w:cs="Suisse Intl" w:hint="cs"/>
        </w:rPr>
        <w:t>deal with each reported event promptly and properly; and</w:t>
      </w:r>
    </w:p>
    <w:p w14:paraId="4577D9D5" w14:textId="77777777" w:rsidR="003F381A" w:rsidRPr="003F381A" w:rsidRDefault="003F381A" w:rsidP="003F381A">
      <w:pPr>
        <w:pStyle w:val="ListParagraph"/>
        <w:numPr>
          <w:ilvl w:val="0"/>
          <w:numId w:val="14"/>
        </w:numPr>
        <w:spacing w:before="0" w:after="160" w:line="259" w:lineRule="auto"/>
        <w:rPr>
          <w:rFonts w:ascii="Suisse Intl" w:hAnsi="Suisse Intl" w:cs="Suisse Intl" w:hint="cs"/>
        </w:rPr>
      </w:pPr>
      <w:r w:rsidRPr="003F381A">
        <w:rPr>
          <w:rFonts w:ascii="Suisse Intl" w:hAnsi="Suisse Intl" w:cs="Suisse Intl" w:hint="cs"/>
        </w:rPr>
        <w:t>treat such investigations and any remedial measure taken confidentially to the extent reasonable and possible under the circumstances.</w:t>
      </w:r>
    </w:p>
    <w:p w14:paraId="21ECAD1A" w14:textId="77777777" w:rsidR="003F381A" w:rsidRPr="003F381A" w:rsidRDefault="003F381A" w:rsidP="003F381A">
      <w:pPr>
        <w:rPr>
          <w:rFonts w:ascii="Suisse Intl" w:hAnsi="Suisse Intl" w:cs="Suisse Intl" w:hint="cs"/>
        </w:rPr>
      </w:pPr>
      <w:r w:rsidRPr="003F381A">
        <w:rPr>
          <w:rFonts w:ascii="Suisse Intl" w:hAnsi="Suisse Intl" w:cs="Suisse Intl" w:hint="cs"/>
        </w:rPr>
        <w:t>There may be circumstances where, because of the nature of the investigation or disclosure, it is necessary to disclose a staff member’s identity. In such circumstances, every effort will be made to inform such staff member before such disclosure is made. If it is necessary for the staff member to be involved in an investigation (for example by providing evidence), the fact that the staff member has made the original disclosure will, so far as reasonably practicable, be kept confidential and all reasonable steps will be taken to protect such staff member from any victimisation or detriment as a result of having made a disclosure.</w:t>
      </w:r>
    </w:p>
    <w:p w14:paraId="0FB9876E" w14:textId="77777777" w:rsidR="003F381A" w:rsidRPr="003F381A" w:rsidRDefault="003F381A" w:rsidP="003F381A">
      <w:pPr>
        <w:rPr>
          <w:rFonts w:ascii="Suisse Intl" w:hAnsi="Suisse Intl" w:cs="Suisse Intl" w:hint="cs"/>
        </w:rPr>
      </w:pPr>
      <w:r w:rsidRPr="003F381A">
        <w:rPr>
          <w:rFonts w:ascii="Suisse Intl" w:hAnsi="Suisse Intl" w:cs="Suisse Intl" w:hint="cs"/>
        </w:rPr>
        <w:t>The Whistleblowing Officer will keep record of all information on reported incidents in a whistleblowing register.</w:t>
      </w:r>
    </w:p>
    <w:p w14:paraId="5B8D374A" w14:textId="77777777" w:rsidR="003F381A" w:rsidRPr="003F381A" w:rsidRDefault="003F381A" w:rsidP="003F381A">
      <w:pPr>
        <w:rPr>
          <w:rFonts w:ascii="Suisse Intl" w:hAnsi="Suisse Intl" w:cs="Suisse Intl" w:hint="cs"/>
        </w:rPr>
      </w:pPr>
      <w:r w:rsidRPr="003F381A">
        <w:rPr>
          <w:rFonts w:ascii="Suisse Intl" w:hAnsi="Suisse Intl" w:cs="Suisse Intl" w:hint="cs"/>
        </w:rPr>
        <w:t xml:space="preserve">The Company encourages anyone with any genuine concern to report alleged irregularities in accordance with the Policy. No action will be taken against such person if the information supplied is provided in good faith and is believed or suspected to be true. </w:t>
      </w:r>
    </w:p>
    <w:p w14:paraId="538EF1CA" w14:textId="77777777" w:rsidR="003F381A" w:rsidRPr="003F381A" w:rsidRDefault="003F381A" w:rsidP="003F381A">
      <w:pPr>
        <w:rPr>
          <w:rFonts w:ascii="Suisse Intl" w:hAnsi="Suisse Intl" w:cs="Suisse Intl" w:hint="cs"/>
        </w:rPr>
      </w:pPr>
      <w:r w:rsidRPr="003F381A">
        <w:rPr>
          <w:rFonts w:ascii="Suisse Intl" w:hAnsi="Suisse Intl" w:cs="Suisse Intl" w:hint="cs"/>
        </w:rPr>
        <w:t>However, abuse of the whistleblowing procedure to make deliberately false allegations against colleagues or the Company will not be tolerated and will be subject to disciplinary actions.</w:t>
      </w:r>
    </w:p>
    <w:p w14:paraId="7C6F21C7" w14:textId="77777777" w:rsidR="003F381A" w:rsidRPr="003F381A" w:rsidRDefault="003F381A" w:rsidP="003F381A">
      <w:pPr>
        <w:rPr>
          <w:rFonts w:ascii="Suisse Intl" w:hAnsi="Suisse Intl" w:cs="Suisse Intl" w:hint="cs"/>
        </w:rPr>
      </w:pPr>
    </w:p>
    <w:p w14:paraId="2DDEBF68" w14:textId="77777777" w:rsidR="003F381A" w:rsidRPr="003F381A" w:rsidRDefault="003F381A" w:rsidP="003F381A">
      <w:pPr>
        <w:pStyle w:val="ListParagraph"/>
        <w:keepNext/>
        <w:numPr>
          <w:ilvl w:val="0"/>
          <w:numId w:val="15"/>
        </w:numPr>
        <w:spacing w:before="0" w:after="160" w:line="259" w:lineRule="auto"/>
        <w:ind w:left="714" w:hanging="357"/>
        <w:rPr>
          <w:rFonts w:ascii="Suisse Intl" w:hAnsi="Suisse Intl" w:cs="Suisse Intl" w:hint="cs"/>
          <w:b/>
          <w:bCs/>
          <w:color w:val="595959" w:themeColor="text1" w:themeTint="A6"/>
          <w:sz w:val="24"/>
          <w:szCs w:val="24"/>
        </w:rPr>
      </w:pPr>
      <w:bookmarkStart w:id="3" w:name="_Ref154585759"/>
      <w:r w:rsidRPr="003F381A">
        <w:rPr>
          <w:rFonts w:ascii="Suisse Intl" w:hAnsi="Suisse Intl" w:cs="Suisse Intl" w:hint="cs"/>
          <w:b/>
          <w:bCs/>
          <w:color w:val="595959" w:themeColor="text1" w:themeTint="A6"/>
          <w:sz w:val="24"/>
          <w:szCs w:val="24"/>
        </w:rPr>
        <w:t>No retaliation</w:t>
      </w:r>
      <w:bookmarkEnd w:id="3"/>
    </w:p>
    <w:p w14:paraId="5561B745" w14:textId="77777777" w:rsidR="003F381A" w:rsidRPr="003F381A" w:rsidRDefault="003F381A" w:rsidP="003F381A">
      <w:pPr>
        <w:rPr>
          <w:rFonts w:ascii="Suisse Intl" w:hAnsi="Suisse Intl" w:cs="Suisse Intl" w:hint="cs"/>
        </w:rPr>
      </w:pPr>
      <w:r w:rsidRPr="003F381A">
        <w:rPr>
          <w:rFonts w:ascii="Suisse Intl" w:hAnsi="Suisse Intl" w:cs="Suisse Intl" w:hint="cs"/>
        </w:rPr>
        <w:t xml:space="preserve">Retaliation is strictly prohibited against anyone who raises questions, speaks up, provides information or otherwise assists in an investigation or proceeding regarding any conduct that the individual believes in good faith constitutes a violation of applicable laws or regulations, of this Policy, or of the Company’ related policies. </w:t>
      </w:r>
    </w:p>
    <w:p w14:paraId="20C0BEA4" w14:textId="77777777" w:rsidR="003F381A" w:rsidRPr="003F381A" w:rsidRDefault="003F381A" w:rsidP="003F381A">
      <w:pPr>
        <w:rPr>
          <w:rFonts w:ascii="Suisse Intl" w:hAnsi="Suisse Intl" w:cs="Suisse Intl" w:hint="cs"/>
        </w:rPr>
      </w:pPr>
      <w:r w:rsidRPr="003F381A">
        <w:rPr>
          <w:rFonts w:ascii="Suisse Intl" w:hAnsi="Suisse Intl" w:cs="Suisse Intl" w:hint="cs"/>
        </w:rPr>
        <w:lastRenderedPageBreak/>
        <w:t>Reports of retaliation or attempted retaliation may be made to the Whistleblowing Officer or any member of [</w:t>
      </w:r>
      <w:r w:rsidRPr="003F381A">
        <w:rPr>
          <w:rFonts w:ascii="Suisse Intl" w:hAnsi="Suisse Intl" w:cs="Suisse Intl" w:hint="cs"/>
          <w:highlight w:val="green"/>
        </w:rPr>
        <w:t>the Board of Directors/Management/other governing or supervisory body</w:t>
      </w:r>
      <w:r w:rsidRPr="003F381A">
        <w:rPr>
          <w:rFonts w:ascii="Suisse Intl" w:hAnsi="Suisse Intl" w:cs="Suisse Intl" w:hint="cs"/>
        </w:rPr>
        <w:t>].</w:t>
      </w:r>
    </w:p>
    <w:p w14:paraId="094901D3" w14:textId="77777777" w:rsidR="003F381A" w:rsidRPr="003F381A" w:rsidRDefault="003F381A" w:rsidP="003F381A">
      <w:pPr>
        <w:rPr>
          <w:rFonts w:ascii="Suisse Intl" w:hAnsi="Suisse Intl" w:cs="Suisse Intl" w:hint="cs"/>
        </w:rPr>
      </w:pPr>
    </w:p>
    <w:p w14:paraId="1D5E54A0" w14:textId="77777777" w:rsidR="003F381A" w:rsidRPr="003F381A" w:rsidRDefault="003F381A" w:rsidP="003F381A">
      <w:pPr>
        <w:pStyle w:val="ListParagraph"/>
        <w:keepNext/>
        <w:numPr>
          <w:ilvl w:val="0"/>
          <w:numId w:val="15"/>
        </w:numPr>
        <w:spacing w:before="0" w:after="160" w:line="259" w:lineRule="auto"/>
        <w:ind w:left="714" w:hanging="357"/>
        <w:rPr>
          <w:rFonts w:ascii="Suisse Intl" w:hAnsi="Suisse Intl" w:cs="Suisse Intl" w:hint="cs"/>
          <w:b/>
          <w:bCs/>
          <w:color w:val="595959" w:themeColor="text1" w:themeTint="A6"/>
          <w:sz w:val="24"/>
          <w:szCs w:val="24"/>
        </w:rPr>
      </w:pPr>
      <w:bookmarkStart w:id="4" w:name="_Hlk153275616"/>
      <w:bookmarkStart w:id="5" w:name="_Hlk153290777"/>
      <w:r w:rsidRPr="003F381A">
        <w:rPr>
          <w:rFonts w:ascii="Suisse Intl" w:hAnsi="Suisse Intl" w:cs="Suisse Intl" w:hint="cs"/>
          <w:b/>
          <w:bCs/>
          <w:color w:val="595959" w:themeColor="text1" w:themeTint="A6"/>
          <w:sz w:val="24"/>
          <w:szCs w:val="24"/>
        </w:rPr>
        <w:t>Approval, amendments and entry into force</w:t>
      </w:r>
    </w:p>
    <w:p w14:paraId="46E136B2" w14:textId="77777777" w:rsidR="003F381A" w:rsidRPr="003F381A" w:rsidRDefault="003F381A" w:rsidP="003F381A">
      <w:pPr>
        <w:rPr>
          <w:rFonts w:ascii="Suisse Intl" w:hAnsi="Suisse Intl" w:cs="Suisse Intl" w:hint="cs"/>
        </w:rPr>
      </w:pPr>
      <w:bookmarkStart w:id="6" w:name="_Hlk153275611"/>
      <w:bookmarkEnd w:id="4"/>
      <w:r w:rsidRPr="003F381A">
        <w:rPr>
          <w:rFonts w:ascii="Suisse Intl" w:hAnsi="Suisse Intl" w:cs="Suisse Intl" w:hint="cs"/>
        </w:rPr>
        <w:t>This Policy has been issued and approved by [</w:t>
      </w:r>
      <w:r w:rsidRPr="003F381A">
        <w:rPr>
          <w:rFonts w:ascii="Suisse Intl" w:hAnsi="Suisse Intl" w:cs="Suisse Intl" w:hint="cs"/>
          <w:highlight w:val="green"/>
        </w:rPr>
        <w:t>the Board of Directors/Management/other governing or supervisory body</w:t>
      </w:r>
      <w:r w:rsidRPr="003F381A">
        <w:rPr>
          <w:rFonts w:ascii="Suisse Intl" w:hAnsi="Suisse Intl" w:cs="Suisse Intl" w:hint="cs"/>
        </w:rPr>
        <w:t>] who is responsible for the adequacy and appropriate overall implementation of the Policy.</w:t>
      </w:r>
    </w:p>
    <w:p w14:paraId="48FC29D3" w14:textId="77777777" w:rsidR="003F381A" w:rsidRPr="003F381A" w:rsidRDefault="003F381A" w:rsidP="003F381A">
      <w:pPr>
        <w:rPr>
          <w:rFonts w:ascii="Suisse Intl" w:hAnsi="Suisse Intl" w:cs="Suisse Intl" w:hint="cs"/>
        </w:rPr>
      </w:pPr>
      <w:r w:rsidRPr="003F381A">
        <w:rPr>
          <w:rFonts w:ascii="Suisse Intl" w:hAnsi="Suisse Intl" w:cs="Suisse Intl" w:hint="cs"/>
        </w:rPr>
        <w:t>Additions, revisions, amendments and abolishment of this Policy are to be approved by [</w:t>
      </w:r>
      <w:r w:rsidRPr="003F381A">
        <w:rPr>
          <w:rFonts w:ascii="Suisse Intl" w:hAnsi="Suisse Intl" w:cs="Suisse Intl" w:hint="cs"/>
          <w:highlight w:val="green"/>
        </w:rPr>
        <w:t>the Board of Directors/Management/other governing or supervisory body</w:t>
      </w:r>
      <w:r w:rsidRPr="003F381A">
        <w:rPr>
          <w:rFonts w:ascii="Suisse Intl" w:hAnsi="Suisse Intl" w:cs="Suisse Intl" w:hint="cs"/>
        </w:rPr>
        <w:t>]. This Policy will enter into force upon its adoption by [</w:t>
      </w:r>
      <w:r w:rsidRPr="003F381A">
        <w:rPr>
          <w:rFonts w:ascii="Suisse Intl" w:hAnsi="Suisse Intl" w:cs="Suisse Intl" w:hint="cs"/>
          <w:highlight w:val="green"/>
        </w:rPr>
        <w:t>the Board of Directors/Management/other governing or supervisory body</w:t>
      </w:r>
      <w:r w:rsidRPr="003F381A">
        <w:rPr>
          <w:rFonts w:ascii="Suisse Intl" w:hAnsi="Suisse Intl" w:cs="Suisse Intl" w:hint="cs"/>
        </w:rPr>
        <w:t>].</w:t>
      </w:r>
    </w:p>
    <w:bookmarkEnd w:id="5"/>
    <w:bookmarkEnd w:id="6"/>
    <w:p w14:paraId="0CDD515B" w14:textId="77777777" w:rsidR="003F381A" w:rsidRPr="003F381A" w:rsidRDefault="003F381A" w:rsidP="003F381A">
      <w:pPr>
        <w:rPr>
          <w:rFonts w:ascii="Suisse Intl" w:hAnsi="Suisse Intl" w:cs="Suisse Intl" w:hint="cs"/>
        </w:rPr>
      </w:pPr>
    </w:p>
    <w:p w14:paraId="104EE601" w14:textId="2186D166" w:rsidR="00E52B7E" w:rsidRPr="003F381A" w:rsidRDefault="00E52B7E" w:rsidP="003F381A">
      <w:pPr>
        <w:jc w:val="center"/>
        <w:rPr>
          <w:rFonts w:ascii="Suisse Intl" w:hAnsi="Suisse Intl" w:cs="Suisse Intl" w:hint="cs"/>
        </w:rPr>
      </w:pPr>
    </w:p>
    <w:sectPr w:rsidR="00E52B7E" w:rsidRPr="003F381A" w:rsidSect="0017700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43E29" w14:textId="77777777" w:rsidR="00D35CE7" w:rsidRDefault="00D35CE7" w:rsidP="003A0CDE">
      <w:pPr>
        <w:spacing w:before="0" w:after="0"/>
      </w:pPr>
      <w:r>
        <w:separator/>
      </w:r>
    </w:p>
  </w:endnote>
  <w:endnote w:type="continuationSeparator" w:id="0">
    <w:p w14:paraId="4D4EBF37" w14:textId="77777777" w:rsidR="00D35CE7" w:rsidRDefault="00D35CE7"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3F68" w14:textId="77777777" w:rsidR="00CE0454" w:rsidRDefault="00CE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745F" w14:textId="77777777" w:rsidR="00CE0454" w:rsidRDefault="00CE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4EEA" w14:textId="77777777" w:rsidR="00D35CE7" w:rsidRDefault="00D35CE7" w:rsidP="003A0CDE">
      <w:pPr>
        <w:spacing w:before="0" w:after="0"/>
      </w:pPr>
      <w:r>
        <w:separator/>
      </w:r>
    </w:p>
  </w:footnote>
  <w:footnote w:type="continuationSeparator" w:id="0">
    <w:p w14:paraId="05DDDE11" w14:textId="77777777" w:rsidR="00D35CE7" w:rsidRDefault="00D35CE7"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02AB" w14:textId="77777777" w:rsidR="00CE0454" w:rsidRDefault="00CE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2E3" w14:textId="77777777" w:rsidR="00CE0454" w:rsidRDefault="00CE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8E1"/>
    <w:multiLevelType w:val="hybridMultilevel"/>
    <w:tmpl w:val="BE762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CE22BD"/>
    <w:multiLevelType w:val="hybridMultilevel"/>
    <w:tmpl w:val="DA20BA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E013D0"/>
    <w:multiLevelType w:val="hybridMultilevel"/>
    <w:tmpl w:val="83CA3CFC"/>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3" w15:restartNumberingAfterBreak="0">
    <w:nsid w:val="26361FFC"/>
    <w:multiLevelType w:val="hybridMultilevel"/>
    <w:tmpl w:val="D25A40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2A5947"/>
    <w:multiLevelType w:val="hybridMultilevel"/>
    <w:tmpl w:val="7AA0D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29814F8"/>
    <w:multiLevelType w:val="hybridMultilevel"/>
    <w:tmpl w:val="3E628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019200B"/>
    <w:multiLevelType w:val="hybridMultilevel"/>
    <w:tmpl w:val="E3085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40059CE"/>
    <w:multiLevelType w:val="hybridMultilevel"/>
    <w:tmpl w:val="15363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B562BCE"/>
    <w:multiLevelType w:val="hybridMultilevel"/>
    <w:tmpl w:val="5F62BC1E"/>
    <w:lvl w:ilvl="0" w:tplc="A7784A1C">
      <w:start w:val="1"/>
      <w:numFmt w:val="lowerRoman"/>
      <w:lvlText w:val="(%1)"/>
      <w:lvlJc w:val="left"/>
      <w:pPr>
        <w:ind w:left="765" w:hanging="360"/>
      </w:pPr>
      <w:rPr>
        <w:rFonts w:hint="default"/>
      </w:r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10" w15:restartNumberingAfterBreak="0">
    <w:nsid w:val="5B784EF9"/>
    <w:multiLevelType w:val="hybridMultilevel"/>
    <w:tmpl w:val="412A36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33277A"/>
    <w:multiLevelType w:val="hybridMultilevel"/>
    <w:tmpl w:val="6D0A7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572108C"/>
    <w:multiLevelType w:val="hybridMultilevel"/>
    <w:tmpl w:val="D5FA6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7AB6A11"/>
    <w:multiLevelType w:val="hybridMultilevel"/>
    <w:tmpl w:val="9154BA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9B27BD5"/>
    <w:multiLevelType w:val="hybridMultilevel"/>
    <w:tmpl w:val="B85629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E8177D8"/>
    <w:multiLevelType w:val="hybridMultilevel"/>
    <w:tmpl w:val="938601E0"/>
    <w:lvl w:ilvl="0" w:tplc="5B4E1D34">
      <w:start w:val="1"/>
      <w:numFmt w:val="lowerLetter"/>
      <w:lvlText w:val="(%1)"/>
      <w:lvlJc w:val="left"/>
      <w:pPr>
        <w:ind w:left="360" w:hanging="360"/>
      </w:pPr>
      <w:rPr>
        <w:rFonts w:hint="default"/>
        <w:b w:val="0"/>
        <w:bCs w:val="0"/>
        <w:i w:val="0"/>
        <w:iCs w:val="0"/>
        <w:spacing w:val="0"/>
        <w:w w:val="100"/>
        <w:sz w:val="22"/>
        <w:szCs w:val="22"/>
        <w:lang w:val="nl-NL"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1639588">
    <w:abstractNumId w:val="5"/>
  </w:num>
  <w:num w:numId="2" w16cid:durableId="132413497">
    <w:abstractNumId w:val="12"/>
  </w:num>
  <w:num w:numId="3" w16cid:durableId="261568706">
    <w:abstractNumId w:val="10"/>
  </w:num>
  <w:num w:numId="4" w16cid:durableId="145754580">
    <w:abstractNumId w:val="4"/>
  </w:num>
  <w:num w:numId="5" w16cid:durableId="840776295">
    <w:abstractNumId w:val="3"/>
  </w:num>
  <w:num w:numId="6" w16cid:durableId="1359503786">
    <w:abstractNumId w:val="14"/>
  </w:num>
  <w:num w:numId="7" w16cid:durableId="1921677987">
    <w:abstractNumId w:val="0"/>
  </w:num>
  <w:num w:numId="8" w16cid:durableId="949169170">
    <w:abstractNumId w:val="11"/>
  </w:num>
  <w:num w:numId="9" w16cid:durableId="1714496147">
    <w:abstractNumId w:val="1"/>
  </w:num>
  <w:num w:numId="10" w16cid:durableId="1663970568">
    <w:abstractNumId w:val="15"/>
  </w:num>
  <w:num w:numId="11" w16cid:durableId="1983731482">
    <w:abstractNumId w:val="6"/>
  </w:num>
  <w:num w:numId="12" w16cid:durableId="1361080191">
    <w:abstractNumId w:val="2"/>
  </w:num>
  <w:num w:numId="13" w16cid:durableId="595090012">
    <w:abstractNumId w:val="7"/>
  </w:num>
  <w:num w:numId="14" w16cid:durableId="1088773915">
    <w:abstractNumId w:val="8"/>
  </w:num>
  <w:num w:numId="15" w16cid:durableId="1386640797">
    <w:abstractNumId w:val="13"/>
  </w:num>
  <w:num w:numId="16" w16cid:durableId="5874965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491"/>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100"/>
    <w:rsid w:val="001B65CB"/>
    <w:rsid w:val="001C1F60"/>
    <w:rsid w:val="001C28F5"/>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2F3"/>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41AA"/>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298"/>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435"/>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381A"/>
    <w:rsid w:val="003F3E2B"/>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4C9"/>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E726E"/>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1636"/>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06"/>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35E06"/>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CE7"/>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2B7E"/>
    <w:rsid w:val="00E5317A"/>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6440</Characters>
  <Application>Microsoft Office Word</Application>
  <DocSecurity>0</DocSecurity>
  <Lines>53</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7554</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3</cp:revision>
  <cp:lastPrinted>2025-04-08T09:40:00Z</cp:lastPrinted>
  <dcterms:created xsi:type="dcterms:W3CDTF">2025-06-12T14:41:00Z</dcterms:created>
  <dcterms:modified xsi:type="dcterms:W3CDTF">2025-06-12T14:43:00Z</dcterms:modified>
  <cp:category>Borad Meeting</cp:category>
</cp:coreProperties>
</file>