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0848"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C9588ED"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DISCLAIMER:</w:t>
      </w:r>
    </w:p>
    <w:p w14:paraId="5FB2AC9C"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6494C592"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3A6C5745" w14:textId="77777777" w:rsidR="00334298" w:rsidRDefault="00334298" w:rsidP="00334298">
      <w:pPr>
        <w:tabs>
          <w:tab w:val="left" w:pos="4164"/>
        </w:tabs>
        <w:rPr>
          <w:b/>
          <w:bCs/>
        </w:rPr>
      </w:pPr>
    </w:p>
    <w:p w14:paraId="695CB4C0" w14:textId="77777777" w:rsidR="00334298" w:rsidRPr="00AE1F3A" w:rsidRDefault="00334298" w:rsidP="00334298">
      <w:pPr>
        <w:tabs>
          <w:tab w:val="left" w:pos="4164"/>
        </w:tabs>
        <w:jc w:val="center"/>
        <w:rPr>
          <w:b/>
          <w:bCs/>
          <w:u w:val="single"/>
        </w:rPr>
      </w:pPr>
      <w:r w:rsidRPr="00AE1F3A">
        <w:rPr>
          <w:b/>
          <w:bCs/>
          <w:u w:val="single"/>
        </w:rPr>
        <w:t>INSTRUCTION MANUAL</w:t>
      </w:r>
    </w:p>
    <w:p w14:paraId="248F1CEB"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1551DD1" w14:textId="77777777" w:rsidR="00334298" w:rsidRDefault="00334298" w:rsidP="002E41AA">
      <w:pPr>
        <w:pStyle w:val="ListParagraph"/>
        <w:numPr>
          <w:ilvl w:val="0"/>
          <w:numId w:val="1"/>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5965A87A" w14:textId="77777777" w:rsidR="00334298" w:rsidRDefault="00334298" w:rsidP="002E41AA">
      <w:pPr>
        <w:pStyle w:val="ListParagraph"/>
        <w:numPr>
          <w:ilvl w:val="1"/>
          <w:numId w:val="1"/>
        </w:numPr>
        <w:spacing w:before="0" w:after="160" w:line="259" w:lineRule="auto"/>
        <w:rPr>
          <w:b/>
          <w:bCs/>
        </w:rPr>
      </w:pPr>
      <w:r>
        <w:rPr>
          <w:b/>
          <w:bCs/>
        </w:rPr>
        <w:t>Employee Code of Conduct</w:t>
      </w:r>
    </w:p>
    <w:p w14:paraId="2BFD2A16" w14:textId="77777777" w:rsidR="00334298" w:rsidRDefault="00334298" w:rsidP="002E41AA">
      <w:pPr>
        <w:pStyle w:val="ListParagraph"/>
        <w:numPr>
          <w:ilvl w:val="1"/>
          <w:numId w:val="1"/>
        </w:numPr>
        <w:spacing w:before="0" w:after="160" w:line="259" w:lineRule="auto"/>
        <w:rPr>
          <w:b/>
          <w:bCs/>
        </w:rPr>
      </w:pPr>
      <w:r>
        <w:rPr>
          <w:b/>
          <w:bCs/>
        </w:rPr>
        <w:t>Suppliers Code of Conduct</w:t>
      </w:r>
    </w:p>
    <w:p w14:paraId="2A4458B3" w14:textId="77777777" w:rsidR="00334298" w:rsidRDefault="00334298" w:rsidP="002E41AA">
      <w:pPr>
        <w:pStyle w:val="ListParagraph"/>
        <w:numPr>
          <w:ilvl w:val="1"/>
          <w:numId w:val="1"/>
        </w:numPr>
        <w:spacing w:before="0" w:after="160" w:line="259" w:lineRule="auto"/>
        <w:rPr>
          <w:b/>
          <w:bCs/>
        </w:rPr>
      </w:pPr>
      <w:r>
        <w:rPr>
          <w:b/>
          <w:bCs/>
        </w:rPr>
        <w:t>Anti-corruption &amp; anti-bribery policy</w:t>
      </w:r>
    </w:p>
    <w:p w14:paraId="1B0B822D" w14:textId="77777777" w:rsidR="00334298" w:rsidRDefault="00334298" w:rsidP="002E41AA">
      <w:pPr>
        <w:pStyle w:val="ListParagraph"/>
        <w:numPr>
          <w:ilvl w:val="1"/>
          <w:numId w:val="1"/>
        </w:numPr>
        <w:spacing w:before="0" w:after="160" w:line="259" w:lineRule="auto"/>
        <w:rPr>
          <w:b/>
          <w:bCs/>
        </w:rPr>
      </w:pPr>
      <w:r>
        <w:rPr>
          <w:b/>
          <w:bCs/>
        </w:rPr>
        <w:t>Anti-discrimination policy</w:t>
      </w:r>
    </w:p>
    <w:p w14:paraId="238DC633" w14:textId="77777777" w:rsidR="00334298" w:rsidRDefault="00334298" w:rsidP="002E41AA">
      <w:pPr>
        <w:pStyle w:val="ListParagraph"/>
        <w:numPr>
          <w:ilvl w:val="1"/>
          <w:numId w:val="1"/>
        </w:numPr>
        <w:spacing w:before="0" w:after="160" w:line="259" w:lineRule="auto"/>
        <w:rPr>
          <w:b/>
          <w:bCs/>
        </w:rPr>
      </w:pPr>
      <w:r>
        <w:rPr>
          <w:b/>
          <w:bCs/>
        </w:rPr>
        <w:t>Whistleblowing policy</w:t>
      </w:r>
    </w:p>
    <w:p w14:paraId="10F961CE" w14:textId="77777777" w:rsidR="00334298" w:rsidRDefault="00334298" w:rsidP="002E41AA">
      <w:pPr>
        <w:pStyle w:val="ListParagraph"/>
        <w:numPr>
          <w:ilvl w:val="1"/>
          <w:numId w:val="1"/>
        </w:numPr>
        <w:spacing w:before="0" w:after="160" w:line="259" w:lineRule="auto"/>
        <w:rPr>
          <w:b/>
          <w:bCs/>
        </w:rPr>
      </w:pPr>
      <w:r>
        <w:rPr>
          <w:b/>
          <w:bCs/>
        </w:rPr>
        <w:t>Privacy policy</w:t>
      </w:r>
    </w:p>
    <w:p w14:paraId="4A29D60E" w14:textId="77777777" w:rsidR="00334298" w:rsidRDefault="00334298" w:rsidP="002E41AA">
      <w:pPr>
        <w:pStyle w:val="ListParagraph"/>
        <w:numPr>
          <w:ilvl w:val="1"/>
          <w:numId w:val="1"/>
        </w:numPr>
        <w:spacing w:before="0" w:after="160" w:line="259" w:lineRule="auto"/>
        <w:rPr>
          <w:b/>
          <w:bCs/>
        </w:rPr>
      </w:pPr>
      <w:r>
        <w:rPr>
          <w:b/>
          <w:bCs/>
        </w:rPr>
        <w:t>Health &amp; safety policy</w:t>
      </w:r>
    </w:p>
    <w:p w14:paraId="4205B618" w14:textId="77777777" w:rsidR="00334298" w:rsidRPr="005A7EDA" w:rsidRDefault="00334298" w:rsidP="002E41AA">
      <w:pPr>
        <w:pStyle w:val="ListParagraph"/>
        <w:numPr>
          <w:ilvl w:val="1"/>
          <w:numId w:val="1"/>
        </w:numPr>
        <w:spacing w:before="0" w:after="160" w:line="259" w:lineRule="auto"/>
        <w:rPr>
          <w:b/>
          <w:bCs/>
        </w:rPr>
      </w:pPr>
      <w:r>
        <w:rPr>
          <w:b/>
          <w:bCs/>
        </w:rPr>
        <w:t>Environmental policy</w:t>
      </w:r>
    </w:p>
    <w:p w14:paraId="70279CD8" w14:textId="77777777" w:rsidR="00334298" w:rsidRPr="005A7EDA" w:rsidRDefault="00334298" w:rsidP="002E41AA">
      <w:pPr>
        <w:pStyle w:val="ListParagraph"/>
        <w:numPr>
          <w:ilvl w:val="0"/>
          <w:numId w:val="1"/>
        </w:numPr>
        <w:spacing w:before="0" w:after="160" w:line="259" w:lineRule="auto"/>
        <w:rPr>
          <w:b/>
          <w:bCs/>
        </w:rPr>
      </w:pPr>
      <w:r w:rsidRPr="005A7EDA">
        <w:rPr>
          <w:b/>
          <w:bCs/>
        </w:rPr>
        <w:t>Fields marked in yellow are cross-references to templates with other topics in the BVA ESG template set.</w:t>
      </w:r>
    </w:p>
    <w:p w14:paraId="3AB8FA6A"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Fields marked in green require policy discretion from the portfolio company. </w:t>
      </w:r>
    </w:p>
    <w:p w14:paraId="1A6457C5" w14:textId="77777777" w:rsidR="00A83AB4" w:rsidRPr="00A83AB4" w:rsidRDefault="009E726E" w:rsidP="00A83AB4">
      <w:pPr>
        <w:jc w:val="center"/>
        <w:rPr>
          <w:rFonts w:ascii="Formular" w:hAnsi="Formular"/>
          <w:b/>
          <w:bCs/>
          <w:sz w:val="28"/>
          <w:szCs w:val="28"/>
        </w:rPr>
      </w:pPr>
      <w:r>
        <w:br w:type="page"/>
      </w:r>
      <w:r w:rsidR="00A83AB4" w:rsidRPr="00A83AB4">
        <w:rPr>
          <w:rFonts w:ascii="Formular" w:hAnsi="Formular"/>
          <w:b/>
          <w:bCs/>
          <w:sz w:val="28"/>
          <w:szCs w:val="28"/>
        </w:rPr>
        <w:lastRenderedPageBreak/>
        <w:t xml:space="preserve">Supplier Code of Conduct </w:t>
      </w:r>
    </w:p>
    <w:p w14:paraId="1687D099" w14:textId="77777777" w:rsidR="00A83AB4" w:rsidRPr="00A83AB4" w:rsidRDefault="00A83AB4" w:rsidP="00A83AB4">
      <w:pPr>
        <w:rPr>
          <w:rFonts w:ascii="Suisse Intl" w:hAnsi="Suisse Intl" w:cs="Suisse Intl" w:hint="cs"/>
        </w:rPr>
      </w:pPr>
      <w:r w:rsidRPr="00A83AB4">
        <w:rPr>
          <w:rFonts w:ascii="Suisse Intl" w:hAnsi="Suisse Intl" w:cs="Suisse Intl" w:hint="cs"/>
        </w:rPr>
        <w:t>[</w:t>
      </w:r>
      <w:r w:rsidRPr="00A83AB4">
        <w:rPr>
          <w:rFonts w:ascii="Suisse Intl" w:hAnsi="Suisse Intl" w:cs="Suisse Intl" w:hint="cs"/>
          <w:i/>
          <w:iCs/>
          <w:highlight w:val="green"/>
        </w:rPr>
        <w:t>This document provides a framework for a Supplier Code of Conduct. Each portfolio company can further tailor this Code of Conduct to its own business, for example by including its business values and industry specific clauses.</w:t>
      </w:r>
      <w:r w:rsidRPr="00A83AB4">
        <w:rPr>
          <w:rFonts w:ascii="Suisse Intl" w:hAnsi="Suisse Intl" w:cs="Suisse Intl" w:hint="cs"/>
        </w:rPr>
        <w:t>]</w:t>
      </w:r>
    </w:p>
    <w:p w14:paraId="735A419D" w14:textId="77777777" w:rsidR="00A83AB4" w:rsidRPr="00A83AB4" w:rsidRDefault="00A83AB4" w:rsidP="00A83AB4">
      <w:pPr>
        <w:rPr>
          <w:rFonts w:ascii="Suisse Intl" w:hAnsi="Suisse Intl" w:cs="Suisse Intl" w:hint="cs"/>
        </w:rPr>
      </w:pPr>
      <w:r w:rsidRPr="00A83AB4">
        <w:rPr>
          <w:rFonts w:ascii="Suisse Intl" w:hAnsi="Suisse Intl" w:cs="Suisse Intl" w:hint="cs"/>
        </w:rPr>
        <w:t>[</w:t>
      </w:r>
      <w:r w:rsidRPr="00A83AB4">
        <w:rPr>
          <w:rFonts w:ascii="Suisse Intl" w:hAnsi="Suisse Intl" w:cs="Suisse Intl" w:hint="cs"/>
          <w:i/>
          <w:iCs/>
          <w:color w:val="FF0000"/>
        </w:rPr>
        <w:t>Portfolio company</w:t>
      </w:r>
      <w:r w:rsidRPr="00A83AB4">
        <w:rPr>
          <w:rFonts w:ascii="Suisse Intl" w:hAnsi="Suisse Intl" w:cs="Suisse Intl" w:hint="cs"/>
        </w:rPr>
        <w:t xml:space="preserve">] (the </w:t>
      </w:r>
      <w:r w:rsidRPr="00A83AB4">
        <w:rPr>
          <w:rFonts w:ascii="Suisse Intl" w:hAnsi="Suisse Intl" w:cs="Suisse Intl" w:hint="cs"/>
          <w:b/>
          <w:bCs/>
        </w:rPr>
        <w:t>Company</w:t>
      </w:r>
      <w:r w:rsidRPr="00A83AB4">
        <w:rPr>
          <w:rFonts w:ascii="Suisse Intl" w:hAnsi="Suisse Intl" w:cs="Suisse Intl" w:hint="cs"/>
        </w:rPr>
        <w:t>) is committed to only engage suppliers that adhere to standards of integrity, rule of law and quality.</w:t>
      </w:r>
    </w:p>
    <w:p w14:paraId="6894218A" w14:textId="77777777" w:rsidR="00A83AB4" w:rsidRPr="00A83AB4" w:rsidRDefault="00A83AB4" w:rsidP="00A83AB4">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A83AB4">
        <w:rPr>
          <w:rFonts w:ascii="Suisse Intl" w:hAnsi="Suisse Intl" w:cs="Suisse Intl" w:hint="cs"/>
          <w:b/>
          <w:bCs/>
        </w:rPr>
        <w:t>The Company can only engage suppliers that have underwritten the Company’s Supplier Code of Conduct to deliver services or products to the Company.</w:t>
      </w:r>
    </w:p>
    <w:p w14:paraId="15D78E91" w14:textId="77777777" w:rsidR="00A83AB4" w:rsidRPr="00A83AB4" w:rsidRDefault="00A83AB4" w:rsidP="00A83AB4">
      <w:pPr>
        <w:rPr>
          <w:rFonts w:ascii="Suisse Intl" w:hAnsi="Suisse Intl" w:cs="Suisse Intl" w:hint="cs"/>
        </w:rPr>
      </w:pPr>
      <w:r w:rsidRPr="00A83AB4">
        <w:rPr>
          <w:rFonts w:ascii="Suisse Intl" w:hAnsi="Suisse Intl" w:cs="Suisse Intl" w:hint="cs"/>
        </w:rPr>
        <w:t>The Company runs the business of [</w:t>
      </w:r>
      <w:r w:rsidRPr="00A83AB4">
        <w:rPr>
          <w:rFonts w:ascii="Suisse Intl" w:hAnsi="Suisse Intl" w:cs="Suisse Intl" w:hint="cs"/>
          <w:i/>
          <w:iCs/>
          <w:highlight w:val="green"/>
        </w:rPr>
        <w:t>insert short text about the Company</w:t>
      </w:r>
      <w:r w:rsidRPr="00A83AB4">
        <w:rPr>
          <w:rFonts w:ascii="Suisse Intl" w:hAnsi="Suisse Intl" w:cs="Suisse Intl" w:hint="cs"/>
        </w:rPr>
        <w:t>].</w:t>
      </w:r>
    </w:p>
    <w:p w14:paraId="09850594"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All rules and policies that the Company’s suppliers of goods and services (the </w:t>
      </w:r>
      <w:r w:rsidRPr="00A83AB4">
        <w:rPr>
          <w:rFonts w:ascii="Suisse Intl" w:hAnsi="Suisse Intl" w:cs="Suisse Intl" w:hint="cs"/>
          <w:b/>
          <w:bCs/>
        </w:rPr>
        <w:t>Suppliers</w:t>
      </w:r>
      <w:r w:rsidRPr="00A83AB4">
        <w:rPr>
          <w:rFonts w:ascii="Suisse Intl" w:hAnsi="Suisse Intl" w:cs="Suisse Intl" w:hint="cs"/>
        </w:rPr>
        <w:t xml:space="preserve">) are expected to observe are incorporated in this Supplier Code of Conduct (this </w:t>
      </w:r>
      <w:r w:rsidRPr="00A83AB4">
        <w:rPr>
          <w:rFonts w:ascii="Suisse Intl" w:hAnsi="Suisse Intl" w:cs="Suisse Intl" w:hint="cs"/>
          <w:b/>
          <w:bCs/>
        </w:rPr>
        <w:t>Code of Conduct</w:t>
      </w:r>
      <w:r w:rsidRPr="00A83AB4">
        <w:rPr>
          <w:rFonts w:ascii="Suisse Intl" w:hAnsi="Suisse Intl" w:cs="Suisse Intl" w:hint="cs"/>
        </w:rPr>
        <w:t>). The rules are an expression of what the Company believes is a socially fair and sustainable way to do business.</w:t>
      </w:r>
    </w:p>
    <w:p w14:paraId="4F33BB62" w14:textId="77777777" w:rsidR="00A83AB4" w:rsidRPr="00A83AB4" w:rsidRDefault="00A83AB4" w:rsidP="00A83AB4">
      <w:pPr>
        <w:rPr>
          <w:rFonts w:ascii="Suisse Intl" w:hAnsi="Suisse Intl" w:cs="Suisse Intl" w:hint="cs"/>
        </w:rPr>
      </w:pPr>
      <w:r w:rsidRPr="00A83AB4">
        <w:rPr>
          <w:rFonts w:ascii="Suisse Intl" w:hAnsi="Suisse Intl" w:cs="Suisse Intl" w:hint="cs"/>
        </w:rPr>
        <w:t>The Company expects its Suppliers to comply with the standards described in this Code of Conduct. This applies for all production facilities, sub-suppliers, subcontractors and other third parties. The Supplier that is in direct relation with the Company shall be responsible and liable for assuring compliance to the extent that is possible within their sphere of influence and efforts, as mentioned before. This requires a co-operative approach where the Supplier involves its business partners and takes reasonable and appropriate measures needed to implement the standards of this Code of Conduct where possible.</w:t>
      </w:r>
    </w:p>
    <w:p w14:paraId="0EA8766C" w14:textId="77777777" w:rsidR="00A83AB4" w:rsidRPr="00A83AB4" w:rsidRDefault="00A83AB4" w:rsidP="00A83AB4">
      <w:pPr>
        <w:rPr>
          <w:rFonts w:ascii="Suisse Intl" w:hAnsi="Suisse Intl" w:cs="Suisse Intl" w:hint="cs"/>
        </w:rPr>
      </w:pPr>
      <w:r w:rsidRPr="00A83AB4">
        <w:rPr>
          <w:rFonts w:ascii="Suisse Intl" w:hAnsi="Suisse Intl" w:cs="Suisse Intl" w:hint="cs"/>
        </w:rPr>
        <w:t>Suppliers which do not (fully) adhere to this Code of Conduct are obliged to inform the Company in detail about the reasons for non-</w:t>
      </w:r>
      <w:proofErr w:type="gramStart"/>
      <w:r w:rsidRPr="00A83AB4">
        <w:rPr>
          <w:rFonts w:ascii="Suisse Intl" w:hAnsi="Suisse Intl" w:cs="Suisse Intl" w:hint="cs"/>
        </w:rPr>
        <w:t>adherence, and</w:t>
      </w:r>
      <w:proofErr w:type="gramEnd"/>
      <w:r w:rsidRPr="00A83AB4">
        <w:rPr>
          <w:rFonts w:ascii="Suisse Intl" w:hAnsi="Suisse Intl" w:cs="Suisse Intl" w:hint="cs"/>
        </w:rPr>
        <w:t xml:space="preserve"> will need to indicate when future adherence of the Code will again be possible. Suppliers will inform their employees and subcontractors about this Code of Conduct and will ensure this Code is observed by each of them.</w:t>
      </w:r>
    </w:p>
    <w:p w14:paraId="6FD3BC36" w14:textId="77777777" w:rsidR="00A83AB4" w:rsidRPr="00A83AB4" w:rsidRDefault="00A83AB4" w:rsidP="00A83AB4">
      <w:pPr>
        <w:pBdr>
          <w:top w:val="single" w:sz="4" w:space="1" w:color="auto"/>
          <w:left w:val="single" w:sz="4" w:space="4" w:color="auto"/>
          <w:bottom w:val="single" w:sz="4" w:space="1" w:color="auto"/>
          <w:right w:val="single" w:sz="4" w:space="4" w:color="auto"/>
        </w:pBdr>
        <w:rPr>
          <w:rFonts w:ascii="Suisse Intl" w:hAnsi="Suisse Intl" w:cs="Suisse Intl" w:hint="cs"/>
        </w:rPr>
      </w:pPr>
      <w:proofErr w:type="gramStart"/>
      <w:r w:rsidRPr="00A83AB4">
        <w:rPr>
          <w:rFonts w:ascii="Suisse Intl" w:hAnsi="Suisse Intl" w:cs="Suisse Intl" w:hint="cs"/>
          <w:b/>
          <w:bCs/>
        </w:rPr>
        <w:t>All of</w:t>
      </w:r>
      <w:proofErr w:type="gramEnd"/>
      <w:r w:rsidRPr="00A83AB4">
        <w:rPr>
          <w:rFonts w:ascii="Suisse Intl" w:hAnsi="Suisse Intl" w:cs="Suisse Intl" w:hint="cs"/>
          <w:b/>
          <w:bCs/>
        </w:rPr>
        <w:t xml:space="preserve"> the Company’s Suppliers are provided with a copy of this Code of Conduct. A Supplier will notify the Company of its acceptance of this Code of Conduct by e-mail. Any breach of this Supplier Code of Conduct may have adverse consequences for the relation between Supplier and the Company. </w:t>
      </w:r>
    </w:p>
    <w:p w14:paraId="28E85F8D" w14:textId="77777777" w:rsidR="00A83AB4" w:rsidRPr="00A83AB4" w:rsidRDefault="00A83AB4" w:rsidP="00A83AB4">
      <w:pPr>
        <w:rPr>
          <w:rFonts w:ascii="Suisse Intl" w:hAnsi="Suisse Intl" w:cs="Suisse Intl" w:hint="cs"/>
          <w:u w:val="single"/>
        </w:rPr>
      </w:pPr>
      <w:r w:rsidRPr="00A83AB4">
        <w:rPr>
          <w:rFonts w:ascii="Suisse Intl" w:hAnsi="Suisse Intl" w:cs="Suisse Intl" w:hint="cs"/>
        </w:rPr>
        <w:t>[</w:t>
      </w:r>
      <w:r w:rsidRPr="00A83AB4">
        <w:rPr>
          <w:rFonts w:ascii="Suisse Intl" w:hAnsi="Suisse Intl" w:cs="Suisse Intl" w:hint="cs"/>
          <w:highlight w:val="green"/>
        </w:rPr>
        <w:t>The Company will follow up on compliance to this Code of Conduct with [</w:t>
      </w:r>
      <w:r w:rsidRPr="00A83AB4">
        <w:rPr>
          <w:rFonts w:ascii="Suisse Intl" w:hAnsi="Suisse Intl" w:cs="Suisse Intl" w:hint="cs"/>
          <w:i/>
          <w:iCs/>
          <w:highlight w:val="green"/>
        </w:rPr>
        <w:t>annual audits / annual conversations / annual confirmation / insert other follow-up measures]</w:t>
      </w:r>
      <w:r w:rsidRPr="00A83AB4">
        <w:rPr>
          <w:rFonts w:ascii="Suisse Intl" w:hAnsi="Suisse Intl" w:cs="Suisse Intl" w:hint="cs"/>
          <w:highlight w:val="green"/>
        </w:rPr>
        <w:t>.</w:t>
      </w:r>
      <w:r w:rsidRPr="00A83AB4">
        <w:rPr>
          <w:rFonts w:ascii="Suisse Intl" w:hAnsi="Suisse Intl" w:cs="Suisse Intl" w:hint="cs"/>
        </w:rPr>
        <w:t>]</w:t>
      </w:r>
    </w:p>
    <w:p w14:paraId="43A80124" w14:textId="15E8E201" w:rsidR="00F103FC" w:rsidRDefault="00F103FC">
      <w:pPr>
        <w:spacing w:before="0" w:after="0"/>
        <w:jc w:val="left"/>
        <w:rPr>
          <w:rFonts w:ascii="Suisse Intl" w:hAnsi="Suisse Intl" w:cs="Suisse Intl"/>
          <w:b/>
          <w:bCs/>
          <w:sz w:val="24"/>
          <w:szCs w:val="24"/>
          <w:u w:val="single"/>
        </w:rPr>
      </w:pPr>
      <w:r>
        <w:rPr>
          <w:rFonts w:ascii="Suisse Intl" w:hAnsi="Suisse Intl" w:cs="Suisse Intl"/>
          <w:b/>
          <w:bCs/>
          <w:sz w:val="24"/>
          <w:szCs w:val="24"/>
          <w:u w:val="single"/>
        </w:rPr>
        <w:br w:type="page"/>
      </w:r>
    </w:p>
    <w:p w14:paraId="75A66854" w14:textId="6C8EF709" w:rsidR="00A83AB4" w:rsidRDefault="00A83AB4" w:rsidP="00A83AB4">
      <w:pPr>
        <w:rPr>
          <w:rFonts w:ascii="Suisse Intl" w:hAnsi="Suisse Intl" w:cs="Suisse Intl"/>
          <w:b/>
          <w:bCs/>
          <w:sz w:val="24"/>
          <w:szCs w:val="24"/>
          <w:u w:val="single"/>
        </w:rPr>
      </w:pPr>
      <w:r w:rsidRPr="00A83AB4">
        <w:rPr>
          <w:rFonts w:ascii="Suisse Intl" w:hAnsi="Suisse Intl" w:cs="Suisse Intl" w:hint="cs"/>
          <w:b/>
          <w:bCs/>
          <w:sz w:val="24"/>
          <w:szCs w:val="24"/>
          <w:u w:val="single"/>
        </w:rPr>
        <w:lastRenderedPageBreak/>
        <w:t>Commitments of the Suppliers:</w:t>
      </w:r>
    </w:p>
    <w:p w14:paraId="65E3ACF6" w14:textId="77777777" w:rsidR="00A83AB4" w:rsidRPr="00A83AB4" w:rsidRDefault="00A83AB4" w:rsidP="00A83AB4">
      <w:pPr>
        <w:rPr>
          <w:rFonts w:ascii="Suisse Intl" w:hAnsi="Suisse Intl" w:cs="Suisse Intl" w:hint="cs"/>
          <w:b/>
          <w:bCs/>
          <w:sz w:val="24"/>
          <w:szCs w:val="24"/>
          <w:u w:val="single"/>
        </w:rPr>
      </w:pPr>
    </w:p>
    <w:p w14:paraId="0BFD62FE" w14:textId="1F409912"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Acknowledgment</w:t>
      </w:r>
    </w:p>
    <w:p w14:paraId="12CB6326"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acknowledges that the Company places value in corporate social and environmental responsibility. </w:t>
      </w:r>
    </w:p>
    <w:p w14:paraId="1FA7571D"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accepts that it is responsible for the effects of its activities on the environment, employees and the society in which it operates. Supplier informs the Company about activities that affect these themes if requested. </w:t>
      </w:r>
    </w:p>
    <w:p w14:paraId="71C5B0C0"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has its own responsibility to perform its work with honesty and integrity in areas not specifically addressed by this Code of Conduct.   </w:t>
      </w:r>
    </w:p>
    <w:p w14:paraId="481A9EF3" w14:textId="77777777" w:rsidR="00A83AB4" w:rsidRDefault="00A83AB4" w:rsidP="00A83AB4">
      <w:pPr>
        <w:rPr>
          <w:rFonts w:ascii="Suisse Intl" w:hAnsi="Suisse Intl" w:cs="Suisse Intl"/>
        </w:rPr>
      </w:pPr>
      <w:r w:rsidRPr="00A83AB4">
        <w:rPr>
          <w:rFonts w:ascii="Suisse Intl" w:hAnsi="Suisse Intl" w:cs="Suisse Intl" w:hint="cs"/>
        </w:rPr>
        <w:t xml:space="preserve">Supplier is responsible for the correct implementation of the Code of Conduct and for continuous improvement, including corrective measures where needed. Supplier is expected to set up systems being able to identify, monitor, understand and implement applicable laws, regulations and customer requirements. </w:t>
      </w:r>
    </w:p>
    <w:p w14:paraId="0D6DAB59" w14:textId="77777777" w:rsidR="00F103FC" w:rsidRPr="00A83AB4" w:rsidRDefault="00F103FC" w:rsidP="00A83AB4">
      <w:pPr>
        <w:rPr>
          <w:rFonts w:ascii="Suisse Intl" w:hAnsi="Suisse Intl" w:cs="Suisse Intl" w:hint="cs"/>
        </w:rPr>
      </w:pPr>
    </w:p>
    <w:p w14:paraId="4050AB04"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Training and communication</w:t>
      </w:r>
    </w:p>
    <w:p w14:paraId="71BD9104" w14:textId="77777777" w:rsidR="00A83AB4" w:rsidRDefault="00A83AB4" w:rsidP="00A83AB4">
      <w:pPr>
        <w:rPr>
          <w:rFonts w:ascii="Suisse Intl" w:hAnsi="Suisse Intl" w:cs="Suisse Intl"/>
        </w:rPr>
      </w:pPr>
      <w:r w:rsidRPr="00A83AB4">
        <w:rPr>
          <w:rFonts w:ascii="Suisse Intl" w:hAnsi="Suisse Intl" w:cs="Suisse Intl" w:hint="cs"/>
        </w:rPr>
        <w:t>Supplier shall develop and maintain management and employee training courses to properly implement its policies and procedures and to meet its continuous improvement goals. Supplier should have processes that clearly and accurately communicate information about its performance, practices, policies, and expectations to employees, sub-suppliers, and customers. Supplier should have a process of continuous improvement to obtain feedback on practices related to this Code of Conduct and to promote continuous improvement.</w:t>
      </w:r>
    </w:p>
    <w:p w14:paraId="6B455CDB" w14:textId="77777777" w:rsidR="00F103FC" w:rsidRPr="00A83AB4" w:rsidRDefault="00F103FC" w:rsidP="00A83AB4">
      <w:pPr>
        <w:rPr>
          <w:rFonts w:ascii="Suisse Intl" w:hAnsi="Suisse Intl" w:cs="Suisse Intl" w:hint="cs"/>
        </w:rPr>
      </w:pPr>
    </w:p>
    <w:p w14:paraId="10713B1F"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Compliance with legislation</w:t>
      </w:r>
    </w:p>
    <w:p w14:paraId="62F5C0B1"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operates in compliance with the laws, regulations and ethical standards of the country in which it operates, where it sells products or services, and/or employs or contracts personnel. </w:t>
      </w:r>
    </w:p>
    <w:p w14:paraId="08EE3B7E" w14:textId="77777777" w:rsidR="00A83AB4" w:rsidRDefault="00A83AB4" w:rsidP="00A83AB4">
      <w:pPr>
        <w:rPr>
          <w:rFonts w:ascii="Suisse Intl" w:hAnsi="Suisse Intl" w:cs="Suisse Intl"/>
        </w:rPr>
      </w:pPr>
      <w:r w:rsidRPr="00A83AB4">
        <w:rPr>
          <w:rFonts w:ascii="Suisse Intl" w:hAnsi="Suisse Intl" w:cs="Suisse Intl" w:hint="cs"/>
        </w:rPr>
        <w:t xml:space="preserve">Supplier is responsible for knowing and complying with all applicable laws in connection with the products and/or services Supplier is providing to the Company. </w:t>
      </w:r>
    </w:p>
    <w:p w14:paraId="58B224F8" w14:textId="77777777" w:rsidR="00F103FC" w:rsidRPr="00A83AB4" w:rsidRDefault="00F103FC" w:rsidP="00A83AB4">
      <w:pPr>
        <w:rPr>
          <w:rFonts w:ascii="Suisse Intl" w:hAnsi="Suisse Intl" w:cs="Suisse Intl" w:hint="cs"/>
        </w:rPr>
      </w:pPr>
    </w:p>
    <w:p w14:paraId="366D078C" w14:textId="77777777" w:rsidR="00A83AB4" w:rsidRPr="00A83AB4" w:rsidRDefault="00A83AB4" w:rsidP="00A83AB4">
      <w:pPr>
        <w:pStyle w:val="ListParagraph"/>
        <w:keepNext/>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Business ethics and integrity</w:t>
      </w:r>
    </w:p>
    <w:p w14:paraId="0FC7573C" w14:textId="77777777" w:rsidR="00A83AB4" w:rsidRPr="00A83AB4" w:rsidRDefault="00A83AB4" w:rsidP="00A83AB4">
      <w:pPr>
        <w:rPr>
          <w:rFonts w:ascii="Suisse Intl" w:hAnsi="Suisse Intl" w:cs="Suisse Intl" w:hint="cs"/>
        </w:rPr>
      </w:pPr>
      <w:r w:rsidRPr="00A83AB4">
        <w:rPr>
          <w:rFonts w:ascii="Suisse Intl" w:hAnsi="Suisse Intl" w:cs="Suisse Intl" w:hint="cs"/>
        </w:rPr>
        <w:t>Suppliers should take all measures to exercise sound and ethical practices. This spans from promoting fair competition to anti-bribery.</w:t>
      </w:r>
    </w:p>
    <w:p w14:paraId="6D6A5650" w14:textId="77777777"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Fair competition</w:t>
      </w:r>
      <w:r w:rsidRPr="00A83AB4">
        <w:rPr>
          <w:rFonts w:ascii="Suisse Intl" w:hAnsi="Suisse Intl" w:cs="Suisse Intl" w:hint="cs"/>
        </w:rPr>
        <w:t>: Supplier respects the rules of free and fair competition in all business relationships and does not act against any competition and/or anti-trust law.</w:t>
      </w:r>
    </w:p>
    <w:p w14:paraId="237E19C6" w14:textId="0CB96018"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Corruption</w:t>
      </w:r>
      <w:r w:rsidRPr="00A83AB4">
        <w:rPr>
          <w:rFonts w:ascii="Suisse Intl" w:hAnsi="Suisse Intl" w:cs="Suisse Intl" w:hint="cs"/>
        </w:rPr>
        <w:t>: Supplier will not tolerate corruption and will ensure compliance with (</w:t>
      </w:r>
      <w:proofErr w:type="spellStart"/>
      <w:r w:rsidRPr="00A83AB4">
        <w:rPr>
          <w:rFonts w:ascii="Suisse Intl" w:hAnsi="Suisse Intl" w:cs="Suisse Intl" w:hint="cs"/>
        </w:rPr>
        <w:t>i</w:t>
      </w:r>
      <w:proofErr w:type="spellEnd"/>
      <w:r w:rsidRPr="00A83AB4">
        <w:rPr>
          <w:rFonts w:ascii="Suisse Intl" w:hAnsi="Suisse Intl" w:cs="Suisse Intl" w:hint="cs"/>
        </w:rPr>
        <w:t>) the United Nations (UN) and the Organi</w:t>
      </w:r>
      <w:r w:rsidR="00F103FC">
        <w:rPr>
          <w:rFonts w:ascii="Suisse Intl" w:hAnsi="Suisse Intl" w:cs="Suisse Intl" w:hint="cs"/>
        </w:rPr>
        <w:t>s</w:t>
      </w:r>
      <w:r w:rsidRPr="00A83AB4">
        <w:rPr>
          <w:rFonts w:ascii="Suisse Intl" w:hAnsi="Suisse Intl" w:cs="Suisse Intl" w:hint="cs"/>
        </w:rPr>
        <w:t xml:space="preserve">ation for Economic Co-operation and </w:t>
      </w:r>
      <w:r w:rsidRPr="00A83AB4">
        <w:rPr>
          <w:rFonts w:ascii="Suisse Intl" w:hAnsi="Suisse Intl" w:cs="Suisse Intl" w:hint="cs"/>
        </w:rPr>
        <w:lastRenderedPageBreak/>
        <w:t>Development (OECD) Conventions on combating corruption and (ii) the relevant anti-corruption laws applicable to it. Supplier is not involved in any act of corruption, extortion or embezzlement or any form of bribery.</w:t>
      </w:r>
    </w:p>
    <w:p w14:paraId="37AF8B2F" w14:textId="77777777"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Anti-money laundering</w:t>
      </w:r>
      <w:r w:rsidRPr="00A83AB4">
        <w:rPr>
          <w:rFonts w:ascii="Suisse Intl" w:hAnsi="Suisse Intl" w:cs="Suisse Intl" w:hint="cs"/>
        </w:rPr>
        <w:t>: Supplier commits to compliance with the relevant legal obligations for money laundering prevention and does not participate in money laundering activities</w:t>
      </w:r>
      <w:r w:rsidRPr="00A83AB4">
        <w:rPr>
          <w:rStyle w:val="FootnoteReference"/>
          <w:rFonts w:ascii="Suisse Intl" w:hAnsi="Suisse Intl" w:cs="Suisse Intl" w:hint="cs"/>
        </w:rPr>
        <w:footnoteReference w:id="1"/>
      </w:r>
      <w:r w:rsidRPr="00A83AB4">
        <w:rPr>
          <w:rFonts w:ascii="Suisse Intl" w:hAnsi="Suisse Intl" w:cs="Suisse Intl" w:hint="cs"/>
        </w:rPr>
        <w:t xml:space="preserve">. </w:t>
      </w:r>
    </w:p>
    <w:p w14:paraId="647B6423" w14:textId="2057CB2F"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Information disclosure</w:t>
      </w:r>
      <w:r w:rsidRPr="00A83AB4">
        <w:rPr>
          <w:rFonts w:ascii="Suisse Intl" w:hAnsi="Suisse Intl" w:cs="Suisse Intl" w:hint="cs"/>
        </w:rPr>
        <w:t xml:space="preserve">: Supplier shall accurately record information about its business activities, </w:t>
      </w:r>
      <w:r w:rsidR="00F103FC" w:rsidRPr="00A83AB4">
        <w:rPr>
          <w:rFonts w:ascii="Suisse Intl" w:hAnsi="Suisse Intl" w:cs="Suisse Intl"/>
        </w:rPr>
        <w:t>labour</w:t>
      </w:r>
      <w:r w:rsidRPr="00A83AB4">
        <w:rPr>
          <w:rFonts w:ascii="Suisse Intl" w:hAnsi="Suisse Intl" w:cs="Suisse Intl" w:hint="cs"/>
        </w:rPr>
        <w:t>, health and safety, and environmental practices, and disclose this information to all parties in accordance with relevant legal requirements.</w:t>
      </w:r>
    </w:p>
    <w:p w14:paraId="6CBD794A" w14:textId="77777777"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Protection of intellectual property</w:t>
      </w:r>
      <w:r w:rsidRPr="00A83AB4">
        <w:rPr>
          <w:rFonts w:ascii="Suisse Intl" w:hAnsi="Suisse Intl" w:cs="Suisse Intl" w:hint="cs"/>
        </w:rPr>
        <w:t>: Supplier shall respect intellectual property and protect the security of customer information. Supplier shall manage technology and expertise from the perspective of protecting intellectual property.</w:t>
      </w:r>
    </w:p>
    <w:p w14:paraId="3BE2FF46" w14:textId="77777777" w:rsidR="00A83AB4" w:rsidRPr="00A83AB4" w:rsidRDefault="00A83AB4" w:rsidP="00A83AB4">
      <w:pPr>
        <w:pStyle w:val="ListParagraph"/>
        <w:numPr>
          <w:ilvl w:val="0"/>
          <w:numId w:val="14"/>
        </w:numPr>
        <w:spacing w:before="0" w:after="160" w:line="259" w:lineRule="auto"/>
        <w:rPr>
          <w:rFonts w:ascii="Suisse Intl" w:hAnsi="Suisse Intl" w:cs="Suisse Intl" w:hint="cs"/>
        </w:rPr>
      </w:pPr>
      <w:r w:rsidRPr="00A83AB4">
        <w:rPr>
          <w:rFonts w:ascii="Suisse Intl" w:hAnsi="Suisse Intl" w:cs="Suisse Intl" w:hint="cs"/>
          <w:u w:val="single"/>
        </w:rPr>
        <w:t>Privacy</w:t>
      </w:r>
      <w:r w:rsidRPr="00A83AB4">
        <w:rPr>
          <w:rFonts w:ascii="Suisse Intl" w:hAnsi="Suisse Intl" w:cs="Suisse Intl" w:hint="cs"/>
        </w:rPr>
        <w:t>: Supplier shall respect the private lives of its employees, including the right to privacy with a domestic and family life in their homes. The supplier shall therefore ensure the personal details of its employees are protected.</w:t>
      </w:r>
    </w:p>
    <w:p w14:paraId="0E67EFC8" w14:textId="77777777" w:rsidR="00A83AB4" w:rsidRPr="00A83AB4" w:rsidRDefault="00A83AB4" w:rsidP="00A83AB4">
      <w:pPr>
        <w:pStyle w:val="ListParagraph"/>
        <w:rPr>
          <w:rFonts w:ascii="Suisse Intl" w:hAnsi="Suisse Intl" w:cs="Suisse Intl" w:hint="cs"/>
        </w:rPr>
      </w:pPr>
    </w:p>
    <w:p w14:paraId="44668CD8"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Safety of products and/or services</w:t>
      </w:r>
    </w:p>
    <w:p w14:paraId="2D36155C" w14:textId="77777777" w:rsidR="00A83AB4" w:rsidRDefault="00A83AB4" w:rsidP="00A83AB4">
      <w:pPr>
        <w:rPr>
          <w:rFonts w:ascii="Suisse Intl" w:hAnsi="Suisse Intl" w:cs="Suisse Intl"/>
        </w:rPr>
      </w:pPr>
      <w:r w:rsidRPr="00A83AB4">
        <w:rPr>
          <w:rFonts w:ascii="Suisse Intl" w:hAnsi="Suisse Intl" w:cs="Suisse Intl" w:hint="cs"/>
        </w:rPr>
        <w:t xml:space="preserve">Supplier guarantees that it will deliver products and services that </w:t>
      </w:r>
      <w:proofErr w:type="gramStart"/>
      <w:r w:rsidRPr="00A83AB4">
        <w:rPr>
          <w:rFonts w:ascii="Suisse Intl" w:hAnsi="Suisse Intl" w:cs="Suisse Intl" w:hint="cs"/>
        </w:rPr>
        <w:t>are considered to be</w:t>
      </w:r>
      <w:proofErr w:type="gramEnd"/>
      <w:r w:rsidRPr="00A83AB4">
        <w:rPr>
          <w:rFonts w:ascii="Suisse Intl" w:hAnsi="Suisse Intl" w:cs="Suisse Intl" w:hint="cs"/>
        </w:rPr>
        <w:t xml:space="preserve"> of high quality, safe in use, and free from defects and/or faults. </w:t>
      </w:r>
    </w:p>
    <w:p w14:paraId="70117D08" w14:textId="77777777" w:rsidR="00F103FC" w:rsidRPr="00A83AB4" w:rsidRDefault="00F103FC" w:rsidP="00A83AB4">
      <w:pPr>
        <w:rPr>
          <w:rFonts w:ascii="Suisse Intl" w:hAnsi="Suisse Intl" w:cs="Suisse Intl" w:hint="cs"/>
        </w:rPr>
      </w:pPr>
    </w:p>
    <w:p w14:paraId="0EDE2A90"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Labor conditions and human rights</w:t>
      </w:r>
    </w:p>
    <w:p w14:paraId="7C139C5E" w14:textId="01CDED6E" w:rsidR="00A83AB4" w:rsidRPr="00A83AB4" w:rsidRDefault="00A83AB4" w:rsidP="00A83AB4">
      <w:pPr>
        <w:rPr>
          <w:rFonts w:ascii="Suisse Intl" w:hAnsi="Suisse Intl" w:cs="Suisse Intl" w:hint="cs"/>
        </w:rPr>
      </w:pPr>
      <w:r w:rsidRPr="00A83AB4">
        <w:rPr>
          <w:rFonts w:ascii="Suisse Intl" w:hAnsi="Suisse Intl" w:cs="Suisse Intl" w:hint="cs"/>
        </w:rPr>
        <w:t>Supplier commits to protect and respect internationally recogni</w:t>
      </w:r>
      <w:r w:rsidR="00F103FC">
        <w:rPr>
          <w:rFonts w:ascii="Suisse Intl" w:hAnsi="Suisse Intl" w:cs="Suisse Intl" w:hint="cs"/>
        </w:rPr>
        <w:t>s</w:t>
      </w:r>
      <w:r w:rsidRPr="00A83AB4">
        <w:rPr>
          <w:rFonts w:ascii="Suisse Intl" w:hAnsi="Suisse Intl" w:cs="Suisse Intl" w:hint="cs"/>
        </w:rPr>
        <w:t>ed human rights and International Labor Organi</w:t>
      </w:r>
      <w:r w:rsidR="00F103FC">
        <w:rPr>
          <w:rFonts w:ascii="Suisse Intl" w:hAnsi="Suisse Intl" w:cs="Suisse Intl" w:hint="cs"/>
        </w:rPr>
        <w:t>s</w:t>
      </w:r>
      <w:r w:rsidRPr="00A83AB4">
        <w:rPr>
          <w:rFonts w:ascii="Suisse Intl" w:hAnsi="Suisse Intl" w:cs="Suisse Intl" w:hint="cs"/>
        </w:rPr>
        <w:t xml:space="preserve">ation (ILO) conventions. Furthermore, Supplier will ensure fair treatment of (migrant) workers, anti-discrimination, and prohibit any form of forced or child </w:t>
      </w:r>
      <w:r w:rsidR="00F103FC" w:rsidRPr="00A83AB4">
        <w:rPr>
          <w:rFonts w:ascii="Suisse Intl" w:hAnsi="Suisse Intl" w:cs="Suisse Intl"/>
        </w:rPr>
        <w:t>labour</w:t>
      </w:r>
      <w:r w:rsidRPr="00A83AB4">
        <w:rPr>
          <w:rFonts w:ascii="Suisse Intl" w:hAnsi="Suisse Intl" w:cs="Suisse Intl" w:hint="cs"/>
        </w:rPr>
        <w:t xml:space="preserve">. </w:t>
      </w:r>
    </w:p>
    <w:p w14:paraId="1762BBFC" w14:textId="77777777" w:rsidR="00A83AB4" w:rsidRPr="00A83AB4" w:rsidRDefault="00A83AB4" w:rsidP="00A83AB4">
      <w:pPr>
        <w:rPr>
          <w:rFonts w:ascii="Suisse Intl" w:hAnsi="Suisse Intl" w:cs="Suisse Intl" w:hint="cs"/>
        </w:rPr>
      </w:pPr>
      <w:r w:rsidRPr="00A83AB4">
        <w:rPr>
          <w:rFonts w:ascii="Suisse Intl" w:hAnsi="Suisse Intl" w:cs="Suisse Intl" w:hint="cs"/>
        </w:rPr>
        <w:t>Specifically, Supplier undertakes the following commitments:</w:t>
      </w:r>
    </w:p>
    <w:p w14:paraId="41D2735C" w14:textId="69F69D15"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Human rights and child labo</w:t>
      </w:r>
      <w:r w:rsidR="00F103FC">
        <w:rPr>
          <w:rFonts w:ascii="Suisse Intl" w:hAnsi="Suisse Intl" w:cs="Suisse Intl"/>
          <w:u w:val="single"/>
        </w:rPr>
        <w:t>u</w:t>
      </w:r>
      <w:r w:rsidRPr="00A83AB4">
        <w:rPr>
          <w:rFonts w:ascii="Suisse Intl" w:hAnsi="Suisse Intl" w:cs="Suisse Intl" w:hint="cs"/>
          <w:u w:val="single"/>
        </w:rPr>
        <w:t>r</w:t>
      </w:r>
      <w:r w:rsidRPr="00A83AB4">
        <w:rPr>
          <w:rFonts w:ascii="Suisse Intl" w:hAnsi="Suisse Intl" w:cs="Suisse Intl" w:hint="cs"/>
        </w:rPr>
        <w:t xml:space="preserve">: Employees in the supply chain of the Supplier shall be treated fair, with respect and according to international human rights. Child Labor is strictly prohibited. Additionally, the rights of young employees shall be </w:t>
      </w:r>
      <w:proofErr w:type="gramStart"/>
      <w:r w:rsidRPr="00A83AB4">
        <w:rPr>
          <w:rFonts w:ascii="Suisse Intl" w:hAnsi="Suisse Intl" w:cs="Suisse Intl" w:hint="cs"/>
        </w:rPr>
        <w:t>protected at all times</w:t>
      </w:r>
      <w:proofErr w:type="gramEnd"/>
      <w:r w:rsidRPr="00A83AB4">
        <w:rPr>
          <w:rFonts w:ascii="Suisse Intl" w:hAnsi="Suisse Intl" w:cs="Suisse Intl" w:hint="cs"/>
        </w:rPr>
        <w:t>. Any form of child exploitation is prohibited.</w:t>
      </w:r>
    </w:p>
    <w:p w14:paraId="41A06ED5" w14:textId="30969087"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 xml:space="preserve">Forced </w:t>
      </w:r>
      <w:r w:rsidR="00F103FC" w:rsidRPr="00A83AB4">
        <w:rPr>
          <w:rFonts w:ascii="Suisse Intl" w:hAnsi="Suisse Intl" w:cs="Suisse Intl"/>
          <w:u w:val="single"/>
        </w:rPr>
        <w:t>labour</w:t>
      </w:r>
      <w:r w:rsidRPr="00A83AB4">
        <w:rPr>
          <w:rFonts w:ascii="Suisse Intl" w:hAnsi="Suisse Intl" w:cs="Suisse Intl" w:hint="cs"/>
        </w:rPr>
        <w:t xml:space="preserve">: The Supplier ensures that  all work shall be conducted on a voluntary basis, and not under threat of any penalty or sanctions. There shall be no use of forced, including bonded or prison, </w:t>
      </w:r>
      <w:r w:rsidR="00F103FC" w:rsidRPr="00A83AB4">
        <w:rPr>
          <w:rFonts w:ascii="Suisse Intl" w:hAnsi="Suisse Intl" w:cs="Suisse Intl"/>
        </w:rPr>
        <w:t>labour</w:t>
      </w:r>
      <w:r w:rsidRPr="00A83AB4">
        <w:rPr>
          <w:rFonts w:ascii="Suisse Intl" w:hAnsi="Suisse Intl" w:cs="Suisse Intl" w:hint="cs"/>
        </w:rPr>
        <w:t xml:space="preserve"> or any engagement in servitude, lodging deposits, retention of identity documents, indentured, trafficked or non-voluntary </w:t>
      </w:r>
      <w:r w:rsidR="00F103FC" w:rsidRPr="00A83AB4">
        <w:rPr>
          <w:rFonts w:ascii="Suisse Intl" w:hAnsi="Suisse Intl" w:cs="Suisse Intl"/>
        </w:rPr>
        <w:t>labour</w:t>
      </w:r>
      <w:r w:rsidRPr="00A83AB4">
        <w:rPr>
          <w:rFonts w:ascii="Suisse Intl" w:hAnsi="Suisse Intl" w:cs="Suisse Intl" w:hint="cs"/>
        </w:rPr>
        <w:t xml:space="preserve"> that violates basic human rights.</w:t>
      </w:r>
    </w:p>
    <w:p w14:paraId="42C8B61F" w14:textId="77777777"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Workers’ rights and protection</w:t>
      </w:r>
      <w:r w:rsidRPr="00A83AB4">
        <w:rPr>
          <w:rFonts w:ascii="Suisse Intl" w:hAnsi="Suisse Intl" w:cs="Suisse Intl" w:hint="cs"/>
        </w:rPr>
        <w:t xml:space="preserve">: At the request of the Company, Supplier shall present its policies, regulations and procedures covering the aspects of workers’ </w:t>
      </w:r>
      <w:r w:rsidRPr="00A83AB4">
        <w:rPr>
          <w:rFonts w:ascii="Suisse Intl" w:hAnsi="Suisse Intl" w:cs="Suisse Intl" w:hint="cs"/>
        </w:rPr>
        <w:lastRenderedPageBreak/>
        <w:t xml:space="preserve">rights and protection at work. Vulnerable individuals, including but not limited to young workers, pregnant women and new mothers, and persons with disabilities, shall receive </w:t>
      </w:r>
      <w:proofErr w:type="gramStart"/>
      <w:r w:rsidRPr="00A83AB4">
        <w:rPr>
          <w:rFonts w:ascii="Suisse Intl" w:hAnsi="Suisse Intl" w:cs="Suisse Intl" w:hint="cs"/>
        </w:rPr>
        <w:t>particular consideration</w:t>
      </w:r>
      <w:proofErr w:type="gramEnd"/>
      <w:r w:rsidRPr="00A83AB4">
        <w:rPr>
          <w:rFonts w:ascii="Suisse Intl" w:hAnsi="Suisse Intl" w:cs="Suisse Intl" w:hint="cs"/>
        </w:rPr>
        <w:t xml:space="preserve"> under the right and relevant measures (according to the vulnerability). Supplier shall provide all workers with access to clean toilet facilities, with water for washing and drinking. </w:t>
      </w:r>
    </w:p>
    <w:p w14:paraId="28FFADD0" w14:textId="77777777"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Healthy and safe working environment</w:t>
      </w:r>
      <w:r w:rsidRPr="00A83AB4">
        <w:rPr>
          <w:rFonts w:ascii="Suisse Intl" w:hAnsi="Suisse Intl" w:cs="Suisse Intl" w:hint="cs"/>
        </w:rPr>
        <w:t>: Everyone involved in the supply chain in which the Company’s products are made has the right on a healthy, safe &amp; fair working environment, in which they are treated with respect and receive a fair remuneration for the work they deliver. Supplier shall treat its workers fairly and with respect. A safe and hygienic working environment shall be provided, and best occupational health and safety practices shall be promoted, bearing in mind the specific hazards and risks of the concerning industry. Supplier shall provide safe and clean conditions in all facilities and follows a clear set of procedures regulating occupational health and safety.</w:t>
      </w:r>
    </w:p>
    <w:p w14:paraId="73BBC346" w14:textId="77777777"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Working hours</w:t>
      </w:r>
      <w:r w:rsidRPr="00A83AB4">
        <w:rPr>
          <w:rFonts w:ascii="Suisse Intl" w:hAnsi="Suisse Intl" w:cs="Suisse Intl" w:hint="cs"/>
        </w:rPr>
        <w:t xml:space="preserve">: Supplier shall ensure that working hours shall comply with applicable regional, national (or relevant international) laws and regulations and industry standards, whichever affords greater protection. In any event, workers shall not, on a regular basis, be required to work </w:t>
      </w:r>
      <w:proofErr w:type="gramStart"/>
      <w:r w:rsidRPr="00A83AB4">
        <w:rPr>
          <w:rFonts w:ascii="Suisse Intl" w:hAnsi="Suisse Intl" w:cs="Suisse Intl" w:hint="cs"/>
        </w:rPr>
        <w:t>in excess of</w:t>
      </w:r>
      <w:proofErr w:type="gramEnd"/>
      <w:r w:rsidRPr="00A83AB4">
        <w:rPr>
          <w:rFonts w:ascii="Suisse Intl" w:hAnsi="Suisse Intl" w:cs="Suisse Intl" w:hint="cs"/>
        </w:rPr>
        <w:t xml:space="preserve"> the maximum amount of 48 hours per week and shall be provided with at least one day off for every seven-day </w:t>
      </w:r>
      <w:proofErr w:type="gramStart"/>
      <w:r w:rsidRPr="00A83AB4">
        <w:rPr>
          <w:rFonts w:ascii="Suisse Intl" w:hAnsi="Suisse Intl" w:cs="Suisse Intl" w:hint="cs"/>
        </w:rPr>
        <w:t>period of time</w:t>
      </w:r>
      <w:proofErr w:type="gramEnd"/>
      <w:r w:rsidRPr="00A83AB4">
        <w:rPr>
          <w:rFonts w:ascii="Suisse Intl" w:hAnsi="Suisse Intl" w:cs="Suisse Intl" w:hint="cs"/>
        </w:rPr>
        <w:t>. Overtime shall be voluntary, shall not exceed 12 hours per week, shall not be demanded regularly and shall always be compensated at a premium rate in accordance with the local and national law.</w:t>
      </w:r>
    </w:p>
    <w:p w14:paraId="053F55E9" w14:textId="77777777"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Fair remuneration</w:t>
      </w:r>
      <w:r w:rsidRPr="00A83AB4">
        <w:rPr>
          <w:rFonts w:ascii="Suisse Intl" w:hAnsi="Suisse Intl" w:cs="Suisse Intl" w:hint="cs"/>
        </w:rPr>
        <w:t>: Supplier is encouraged to provide its employees with a suitable reward which covers the minimum costs of living and provides possibility for additional expenditures. Wages should be paid in a regular manner and fully in legal tender.</w:t>
      </w:r>
    </w:p>
    <w:p w14:paraId="69CF7A53" w14:textId="0D881751" w:rsidR="00A83AB4" w:rsidRPr="00A83AB4" w:rsidRDefault="00A83AB4" w:rsidP="00A83AB4">
      <w:pPr>
        <w:pStyle w:val="ListParagraph"/>
        <w:numPr>
          <w:ilvl w:val="0"/>
          <w:numId w:val="15"/>
        </w:numPr>
        <w:spacing w:before="0" w:after="160" w:line="259" w:lineRule="auto"/>
        <w:rPr>
          <w:rFonts w:ascii="Suisse Intl" w:hAnsi="Suisse Intl" w:cs="Suisse Intl" w:hint="cs"/>
        </w:rPr>
      </w:pPr>
      <w:r w:rsidRPr="00A83AB4">
        <w:rPr>
          <w:rFonts w:ascii="Suisse Intl" w:hAnsi="Suisse Intl" w:cs="Suisse Intl" w:hint="cs"/>
          <w:u w:val="single"/>
        </w:rPr>
        <w:t>No discrimination</w:t>
      </w:r>
      <w:r w:rsidRPr="00A83AB4">
        <w:rPr>
          <w:rFonts w:ascii="Suisse Intl" w:hAnsi="Suisse Intl" w:cs="Suisse Intl" w:hint="cs"/>
        </w:rPr>
        <w:t xml:space="preserve">: Supplier shall not engage in, support or tolerate discrimination in employment including hiring, access to training, working conditions, remuneration or benefits etc., on the basis of race, </w:t>
      </w:r>
      <w:proofErr w:type="spellStart"/>
      <w:r w:rsidRPr="00A83AB4">
        <w:rPr>
          <w:rFonts w:ascii="Suisse Intl" w:hAnsi="Suisse Intl" w:cs="Suisse Intl" w:hint="cs"/>
        </w:rPr>
        <w:t>color</w:t>
      </w:r>
      <w:proofErr w:type="spellEnd"/>
      <w:r w:rsidRPr="00A83AB4">
        <w:rPr>
          <w:rFonts w:ascii="Suisse Intl" w:hAnsi="Suisse Intl" w:cs="Suisse Intl" w:hint="cs"/>
        </w:rPr>
        <w:t>, gender, age, religion, marital status, caste, social background, disability, pregnancy, ethnic or national origin, nationality, membership in worker organi</w:t>
      </w:r>
      <w:r w:rsidR="00F103FC">
        <w:rPr>
          <w:rFonts w:ascii="Suisse Intl" w:hAnsi="Suisse Intl" w:cs="Suisse Intl" w:hint="cs"/>
        </w:rPr>
        <w:t>s</w:t>
      </w:r>
      <w:r w:rsidRPr="00A83AB4">
        <w:rPr>
          <w:rFonts w:ascii="Suisse Intl" w:hAnsi="Suisse Intl" w:cs="Suisse Intl" w:hint="cs"/>
        </w:rPr>
        <w:t xml:space="preserve">ations including unions, political affiliation, sexual orientation, or any other condition that could give rise to discrimination. Supplier shall base all terms and conditions of employment on an individual's ability to do the job, and not </w:t>
      </w:r>
      <w:proofErr w:type="gramStart"/>
      <w:r w:rsidRPr="00A83AB4">
        <w:rPr>
          <w:rFonts w:ascii="Suisse Intl" w:hAnsi="Suisse Intl" w:cs="Suisse Intl" w:hint="cs"/>
        </w:rPr>
        <w:t>on the basis of</w:t>
      </w:r>
      <w:proofErr w:type="gramEnd"/>
      <w:r w:rsidRPr="00A83AB4">
        <w:rPr>
          <w:rFonts w:ascii="Suisse Intl" w:hAnsi="Suisse Intl" w:cs="Suisse Intl" w:hint="cs"/>
        </w:rPr>
        <w:t xml:space="preserve"> personal characteristics or beliefs such as described above. Supplier shall not engage in or tolerate bullying, harassment or abuse of any kind.</w:t>
      </w:r>
    </w:p>
    <w:p w14:paraId="5794A236" w14:textId="77777777" w:rsidR="00A83AB4" w:rsidRPr="00A83AB4" w:rsidRDefault="00A83AB4" w:rsidP="00A83AB4">
      <w:pPr>
        <w:pStyle w:val="ListParagraph"/>
        <w:rPr>
          <w:rFonts w:ascii="Suisse Intl" w:hAnsi="Suisse Intl" w:cs="Suisse Intl" w:hint="cs"/>
        </w:rPr>
      </w:pPr>
    </w:p>
    <w:p w14:paraId="7C1FC635"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Environment</w:t>
      </w:r>
    </w:p>
    <w:p w14:paraId="6A03E23A"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is expected to comply with applicable environmental regulations and </w:t>
      </w:r>
      <w:proofErr w:type="gramStart"/>
      <w:r w:rsidRPr="00A83AB4">
        <w:rPr>
          <w:rFonts w:ascii="Suisse Intl" w:hAnsi="Suisse Intl" w:cs="Suisse Intl" w:hint="cs"/>
        </w:rPr>
        <w:t>take into account</w:t>
      </w:r>
      <w:proofErr w:type="gramEnd"/>
      <w:r w:rsidRPr="00A83AB4">
        <w:rPr>
          <w:rFonts w:ascii="Suisse Intl" w:hAnsi="Suisse Intl" w:cs="Suisse Intl" w:hint="cs"/>
        </w:rPr>
        <w:t xml:space="preserve"> the impacts of its operations and products on the environment, climate change, and the depletion of natural resources, such as but not limited to waste, effluents, packaging, and/or energy efficiency. </w:t>
      </w:r>
    </w:p>
    <w:p w14:paraId="320AB864" w14:textId="64BFDD3C" w:rsidR="00A83AB4" w:rsidRPr="00A83AB4" w:rsidRDefault="00A83AB4" w:rsidP="00A83AB4">
      <w:pPr>
        <w:rPr>
          <w:rFonts w:ascii="Suisse Intl" w:hAnsi="Suisse Intl" w:cs="Suisse Intl" w:hint="cs"/>
        </w:rPr>
      </w:pPr>
      <w:r w:rsidRPr="00A83AB4">
        <w:rPr>
          <w:rFonts w:ascii="Suisse Intl" w:hAnsi="Suisse Intl" w:cs="Suisse Intl" w:hint="cs"/>
        </w:rPr>
        <w:lastRenderedPageBreak/>
        <w:t>Procedures and standards for waste management, handling and disposure of hazardous substances or chemicals (if any), and other dangerous materials, emissions, and effluent treatment must meet or exceed minimum legal standards in accordance with regional, national and international legislation. Supplier shall take responsibility and necessary measures to avoid environmental degradation by preventing or minimi</w:t>
      </w:r>
      <w:r w:rsidR="00F103FC">
        <w:rPr>
          <w:rFonts w:ascii="Suisse Intl" w:hAnsi="Suisse Intl" w:cs="Suisse Intl" w:hint="cs"/>
        </w:rPr>
        <w:t>s</w:t>
      </w:r>
      <w:r w:rsidRPr="00A83AB4">
        <w:rPr>
          <w:rFonts w:ascii="Suisse Intl" w:hAnsi="Suisse Intl" w:cs="Suisse Intl" w:hint="cs"/>
        </w:rPr>
        <w:t xml:space="preserve">ing adverse effects on the community, natural resources and the overall environment, without any exception. Supplier shall obtain, maintain and keep current all relevant environmental permits and registrations required under local regulation and follow the corresponding operational and reporting requirements. Supplier shall </w:t>
      </w:r>
      <w:proofErr w:type="spellStart"/>
      <w:r w:rsidRPr="00A83AB4">
        <w:rPr>
          <w:rFonts w:ascii="Suisse Intl" w:hAnsi="Suisse Intl" w:cs="Suisse Intl" w:hint="cs"/>
        </w:rPr>
        <w:t>endeavor</w:t>
      </w:r>
      <w:proofErr w:type="spellEnd"/>
      <w:r w:rsidRPr="00A83AB4">
        <w:rPr>
          <w:rFonts w:ascii="Suisse Intl" w:hAnsi="Suisse Intl" w:cs="Suisse Intl" w:hint="cs"/>
        </w:rPr>
        <w:t xml:space="preserve"> to reduce or eliminate solid waste, wastewater and air emissions, including energy-related indirect air emissions, by implementing appropriate conservation measures in their production, maintenance and facilities processes.</w:t>
      </w:r>
    </w:p>
    <w:p w14:paraId="6050AEB1" w14:textId="77777777" w:rsidR="00A83AB4" w:rsidRPr="00A83AB4" w:rsidRDefault="00A83AB4" w:rsidP="00A83AB4">
      <w:pPr>
        <w:rPr>
          <w:rFonts w:ascii="Suisse Intl" w:hAnsi="Suisse Intl" w:cs="Suisse Intl" w:hint="cs"/>
        </w:rPr>
      </w:pPr>
      <w:r w:rsidRPr="00A83AB4">
        <w:rPr>
          <w:rFonts w:ascii="Suisse Intl" w:hAnsi="Suisse Intl" w:cs="Suisse Intl" w:hint="cs"/>
        </w:rPr>
        <w:t>Supplier shall regularly quantify greenhouse gas emissions and set targets and monitor implementation progress to reduce greenhouse gas emissions through energy conservation, clean energy use or other methods.</w:t>
      </w:r>
    </w:p>
    <w:p w14:paraId="124A9864" w14:textId="57297D54" w:rsidR="00A83AB4" w:rsidRDefault="00A83AB4" w:rsidP="00A83AB4">
      <w:pPr>
        <w:rPr>
          <w:rFonts w:ascii="Suisse Intl" w:hAnsi="Suisse Intl" w:cs="Suisse Intl"/>
        </w:rPr>
      </w:pPr>
      <w:r w:rsidRPr="00A83AB4">
        <w:rPr>
          <w:rFonts w:ascii="Suisse Intl" w:hAnsi="Suisse Intl" w:cs="Suisse Intl" w:hint="cs"/>
        </w:rPr>
        <w:t>Supplier should regularly quantify the use of fossil fuels, water resources, hazardous materials and natural resources, set targets and monitor implementation progress, through energy conservation, reuse, recycling, alternative energy, or other methods reduce the use of such resources. This also accounts for minimi</w:t>
      </w:r>
      <w:r w:rsidR="00F103FC">
        <w:rPr>
          <w:rFonts w:ascii="Suisse Intl" w:hAnsi="Suisse Intl" w:cs="Suisse Intl" w:hint="cs"/>
        </w:rPr>
        <w:t>s</w:t>
      </w:r>
      <w:r w:rsidRPr="00A83AB4">
        <w:rPr>
          <w:rFonts w:ascii="Suisse Intl" w:hAnsi="Suisse Intl" w:cs="Suisse Intl" w:hint="cs"/>
        </w:rPr>
        <w:t>ation of packaging materials: the Company strives for minimi</w:t>
      </w:r>
      <w:r w:rsidR="00F103FC">
        <w:rPr>
          <w:rFonts w:ascii="Suisse Intl" w:hAnsi="Suisse Intl" w:cs="Suisse Intl" w:hint="cs"/>
        </w:rPr>
        <w:t>s</w:t>
      </w:r>
      <w:r w:rsidRPr="00A83AB4">
        <w:rPr>
          <w:rFonts w:ascii="Suisse Intl" w:hAnsi="Suisse Intl" w:cs="Suisse Intl" w:hint="cs"/>
        </w:rPr>
        <w:t xml:space="preserve">ation of packaging materials </w:t>
      </w:r>
      <w:proofErr w:type="gramStart"/>
      <w:r w:rsidRPr="00A83AB4">
        <w:rPr>
          <w:rFonts w:ascii="Suisse Intl" w:hAnsi="Suisse Intl" w:cs="Suisse Intl" w:hint="cs"/>
        </w:rPr>
        <w:t>used for the products at all times</w:t>
      </w:r>
      <w:proofErr w:type="gramEnd"/>
      <w:r w:rsidRPr="00A83AB4">
        <w:rPr>
          <w:rFonts w:ascii="Suisse Intl" w:hAnsi="Suisse Intl" w:cs="Suisse Intl" w:hint="cs"/>
        </w:rPr>
        <w:t>. The Supplier shall adhere to the maximum extent to this request, always in full agreement with the Company.</w:t>
      </w:r>
    </w:p>
    <w:p w14:paraId="00C9CA50" w14:textId="77777777" w:rsidR="00F103FC" w:rsidRPr="00A83AB4" w:rsidRDefault="00F103FC" w:rsidP="00A83AB4">
      <w:pPr>
        <w:rPr>
          <w:rFonts w:ascii="Suisse Intl" w:hAnsi="Suisse Intl" w:cs="Suisse Intl" w:hint="cs"/>
        </w:rPr>
      </w:pPr>
    </w:p>
    <w:p w14:paraId="52C4F0DF" w14:textId="77777777" w:rsidR="00A83AB4" w:rsidRPr="00A83AB4" w:rsidRDefault="00A83AB4" w:rsidP="00A83AB4">
      <w:pPr>
        <w:pStyle w:val="ListParagraph"/>
        <w:numPr>
          <w:ilvl w:val="0"/>
          <w:numId w:val="13"/>
        </w:numPr>
        <w:spacing w:before="0" w:after="160" w:line="259" w:lineRule="auto"/>
        <w:rPr>
          <w:rFonts w:ascii="Suisse Intl" w:hAnsi="Suisse Intl" w:cs="Suisse Intl" w:hint="cs"/>
          <w:b/>
          <w:bCs/>
          <w:color w:val="595959" w:themeColor="text1" w:themeTint="A6"/>
          <w:sz w:val="24"/>
          <w:szCs w:val="24"/>
        </w:rPr>
      </w:pPr>
      <w:r w:rsidRPr="00A83AB4">
        <w:rPr>
          <w:rFonts w:ascii="Suisse Intl" w:hAnsi="Suisse Intl" w:cs="Suisse Intl" w:hint="cs"/>
          <w:b/>
          <w:bCs/>
          <w:color w:val="595959" w:themeColor="text1" w:themeTint="A6"/>
          <w:sz w:val="24"/>
          <w:szCs w:val="24"/>
        </w:rPr>
        <w:t>Certifications and quality marks</w:t>
      </w:r>
    </w:p>
    <w:p w14:paraId="68596BDB" w14:textId="77777777" w:rsidR="00A83AB4" w:rsidRPr="00A83AB4" w:rsidRDefault="00A83AB4" w:rsidP="00A83AB4">
      <w:pPr>
        <w:rPr>
          <w:rFonts w:ascii="Suisse Intl" w:hAnsi="Suisse Intl" w:cs="Suisse Intl" w:hint="cs"/>
        </w:rPr>
      </w:pPr>
      <w:r w:rsidRPr="00A83AB4">
        <w:rPr>
          <w:rFonts w:ascii="Suisse Intl" w:hAnsi="Suisse Intl" w:cs="Suisse Intl" w:hint="cs"/>
        </w:rPr>
        <w:t xml:space="preserve">Supplier shall define and implement a policy for social accountability and one of the following management systems to ensure the requirements outlined in this Code of Conduct, including preferred standards such as BSCI; WRAP; SEDEX (SMETA) and/or SA8000; ISO14001. </w:t>
      </w:r>
    </w:p>
    <w:p w14:paraId="104EE601" w14:textId="58630F17" w:rsidR="00E52B7E" w:rsidRPr="00E52B7E" w:rsidRDefault="00A83AB4" w:rsidP="00A83AB4">
      <w:pPr>
        <w:rPr>
          <w:rFonts w:ascii="Suisse Intl" w:hAnsi="Suisse Intl" w:cs="Suisse Intl" w:hint="cs"/>
        </w:rPr>
      </w:pPr>
      <w:r w:rsidRPr="00A83AB4">
        <w:rPr>
          <w:rFonts w:ascii="Suisse Intl" w:hAnsi="Suisse Intl" w:cs="Suisse Intl" w:hint="cs"/>
        </w:rPr>
        <w:t>When Supplier is not affiliated with one of these social compliance standards, Supplier shall indicate on what term it is possible to affiliate.</w:t>
      </w:r>
    </w:p>
    <w:sectPr w:rsidR="00E52B7E" w:rsidRPr="00E52B7E" w:rsidSect="00177008">
      <w:headerReference w:type="default" r:id="rId8"/>
      <w:footerReference w:type="even" r:id="rId9"/>
      <w:footerReference w:type="default" r:id="rId10"/>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C3CF" w14:textId="77777777" w:rsidR="00FE2927" w:rsidRDefault="00FE2927" w:rsidP="003A0CDE">
      <w:pPr>
        <w:spacing w:before="0" w:after="0"/>
      </w:pPr>
      <w:r>
        <w:separator/>
      </w:r>
    </w:p>
  </w:endnote>
  <w:endnote w:type="continuationSeparator" w:id="0">
    <w:p w14:paraId="2F0DC874" w14:textId="77777777" w:rsidR="00FE2927" w:rsidRDefault="00FE2927"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9984927"/>
      <w:docPartObj>
        <w:docPartGallery w:val="Page Numbers (Bottom of Page)"/>
        <w:docPartUnique/>
      </w:docPartObj>
    </w:sdtPr>
    <w:sdtContent>
      <w:p w14:paraId="1429BED4" w14:textId="7B34E42D" w:rsidR="00A83AB4" w:rsidRDefault="00A83AB4" w:rsidP="00315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F4D3F68" w14:textId="77777777" w:rsidR="00CE0454" w:rsidRDefault="00CE0454" w:rsidP="00A83A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0223204"/>
      <w:docPartObj>
        <w:docPartGallery w:val="Page Numbers (Bottom of Page)"/>
        <w:docPartUnique/>
      </w:docPartObj>
    </w:sdtPr>
    <w:sdtContent>
      <w:p w14:paraId="22E471F1" w14:textId="087F9CBE" w:rsidR="00A83AB4" w:rsidRDefault="00A83AB4" w:rsidP="00315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6757605" w14:textId="77777777" w:rsidR="007E54F9" w:rsidRPr="00990684" w:rsidRDefault="007E54F9" w:rsidP="00A83AB4">
    <w:pPr>
      <w:pStyle w:val="Footer"/>
      <w:spacing w:before="0"/>
      <w:ind w:right="360"/>
      <w:rPr>
        <w:color w:val="0B201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E02A" w14:textId="77777777" w:rsidR="00FE2927" w:rsidRDefault="00FE2927" w:rsidP="003A0CDE">
      <w:pPr>
        <w:spacing w:before="0" w:after="0"/>
      </w:pPr>
      <w:r>
        <w:separator/>
      </w:r>
    </w:p>
  </w:footnote>
  <w:footnote w:type="continuationSeparator" w:id="0">
    <w:p w14:paraId="16F03B09" w14:textId="77777777" w:rsidR="00FE2927" w:rsidRDefault="00FE2927" w:rsidP="003A0CDE">
      <w:pPr>
        <w:spacing w:before="0" w:after="0"/>
      </w:pPr>
      <w:r>
        <w:continuationSeparator/>
      </w:r>
    </w:p>
  </w:footnote>
  <w:footnote w:id="1">
    <w:p w14:paraId="2C3B7665" w14:textId="77777777" w:rsidR="00A83AB4" w:rsidRDefault="00A83AB4" w:rsidP="00A83AB4">
      <w:pPr>
        <w:pStyle w:val="FootnoteText"/>
      </w:pPr>
      <w:r>
        <w:rPr>
          <w:rStyle w:val="FootnoteReference"/>
        </w:rPr>
        <w:footnoteRef/>
      </w:r>
      <w:r>
        <w:t xml:space="preserve"> </w:t>
      </w:r>
      <w:r w:rsidRPr="003E02B9">
        <w:t>Money laundering means exchanging money or assets that were obtained criminally for money or other assets that are ‘clean’. The clean money or assets do not have an obvious link with any criminal activity. The purpose of money laundering is to conceal the origin of the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8E1"/>
    <w:multiLevelType w:val="hybridMultilevel"/>
    <w:tmpl w:val="BE762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DB6646"/>
    <w:multiLevelType w:val="hybridMultilevel"/>
    <w:tmpl w:val="ABF676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A2259C"/>
    <w:multiLevelType w:val="hybridMultilevel"/>
    <w:tmpl w:val="B7302B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CE22BD"/>
    <w:multiLevelType w:val="hybridMultilevel"/>
    <w:tmpl w:val="DA20B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E013D0"/>
    <w:multiLevelType w:val="hybridMultilevel"/>
    <w:tmpl w:val="83CA3CFC"/>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5" w15:restartNumberingAfterBreak="0">
    <w:nsid w:val="26361FFC"/>
    <w:multiLevelType w:val="hybridMultilevel"/>
    <w:tmpl w:val="D25A40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2A5947"/>
    <w:multiLevelType w:val="hybridMultilevel"/>
    <w:tmpl w:val="7AA0D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29814F8"/>
    <w:multiLevelType w:val="hybridMultilevel"/>
    <w:tmpl w:val="3E628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2792FAC"/>
    <w:multiLevelType w:val="hybridMultilevel"/>
    <w:tmpl w:val="40289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B784EF9"/>
    <w:multiLevelType w:val="hybridMultilevel"/>
    <w:tmpl w:val="412A36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33277A"/>
    <w:multiLevelType w:val="hybridMultilevel"/>
    <w:tmpl w:val="6D0A7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572108C"/>
    <w:multiLevelType w:val="hybridMultilevel"/>
    <w:tmpl w:val="D5FA6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9B27BD5"/>
    <w:multiLevelType w:val="hybridMultilevel"/>
    <w:tmpl w:val="B85629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E8177D8"/>
    <w:multiLevelType w:val="hybridMultilevel"/>
    <w:tmpl w:val="938601E0"/>
    <w:lvl w:ilvl="0" w:tplc="5B4E1D34">
      <w:start w:val="1"/>
      <w:numFmt w:val="lowerLetter"/>
      <w:lvlText w:val="(%1)"/>
      <w:lvlJc w:val="left"/>
      <w:pPr>
        <w:ind w:left="360" w:hanging="360"/>
      </w:pPr>
      <w:rPr>
        <w:rFonts w:hint="default"/>
        <w:b w:val="0"/>
        <w:bCs w:val="0"/>
        <w:i w:val="0"/>
        <w:iCs w:val="0"/>
        <w:spacing w:val="0"/>
        <w:w w:val="100"/>
        <w:sz w:val="22"/>
        <w:szCs w:val="22"/>
        <w:lang w:val="nl-NL"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1639588">
    <w:abstractNumId w:val="7"/>
  </w:num>
  <w:num w:numId="2" w16cid:durableId="132413497">
    <w:abstractNumId w:val="12"/>
  </w:num>
  <w:num w:numId="3" w16cid:durableId="261568706">
    <w:abstractNumId w:val="10"/>
  </w:num>
  <w:num w:numId="4" w16cid:durableId="145754580">
    <w:abstractNumId w:val="6"/>
  </w:num>
  <w:num w:numId="5" w16cid:durableId="840776295">
    <w:abstractNumId w:val="5"/>
  </w:num>
  <w:num w:numId="6" w16cid:durableId="1359503786">
    <w:abstractNumId w:val="13"/>
  </w:num>
  <w:num w:numId="7" w16cid:durableId="1921677987">
    <w:abstractNumId w:val="0"/>
  </w:num>
  <w:num w:numId="8" w16cid:durableId="949169170">
    <w:abstractNumId w:val="11"/>
  </w:num>
  <w:num w:numId="9" w16cid:durableId="1714496147">
    <w:abstractNumId w:val="3"/>
  </w:num>
  <w:num w:numId="10" w16cid:durableId="1663970568">
    <w:abstractNumId w:val="14"/>
  </w:num>
  <w:num w:numId="11" w16cid:durableId="1983731482">
    <w:abstractNumId w:val="8"/>
  </w:num>
  <w:num w:numId="12" w16cid:durableId="1361080191">
    <w:abstractNumId w:val="4"/>
  </w:num>
  <w:num w:numId="13" w16cid:durableId="1708330622">
    <w:abstractNumId w:val="2"/>
  </w:num>
  <w:num w:numId="14" w16cid:durableId="1825199655">
    <w:abstractNumId w:val="9"/>
  </w:num>
  <w:num w:numId="15" w16cid:durableId="18932270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491"/>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100"/>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41AA"/>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298"/>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435"/>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3E2B"/>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4C9"/>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E726E"/>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3AB4"/>
    <w:rsid w:val="00A86799"/>
    <w:rsid w:val="00A86A05"/>
    <w:rsid w:val="00A91636"/>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2B7E"/>
    <w:rsid w:val="00E5317A"/>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3F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2927"/>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 w:type="character" w:styleId="PageNumber">
    <w:name w:val="page number"/>
    <w:basedOn w:val="DefaultParagraphFont"/>
    <w:uiPriority w:val="99"/>
    <w:semiHidden/>
    <w:unhideWhenUsed/>
    <w:rsid w:val="00A8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2081</Words>
  <Characters>11868</Characters>
  <Application>Microsoft Office Word</Application>
  <DocSecurity>0</DocSecurity>
  <Lines>98</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13922</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3</cp:revision>
  <cp:lastPrinted>2025-04-08T09:40:00Z</cp:lastPrinted>
  <dcterms:created xsi:type="dcterms:W3CDTF">2025-06-12T14:34:00Z</dcterms:created>
  <dcterms:modified xsi:type="dcterms:W3CDTF">2025-06-12T14:37:00Z</dcterms:modified>
  <cp:category>Borad Meeting</cp:category>
</cp:coreProperties>
</file>